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2"/>
        <w:framePr w:wrap="around"/>
        <w:ind w:left="210" w:leftChars="100"/>
        <w:rPr>
          <w:rFonts w:ascii="Times New Roman"/>
        </w:rPr>
      </w:pPr>
      <w:r>
        <w:rPr>
          <w:rFonts w:ascii="Times New Roman"/>
        </w:rPr>
        <w:t>ICS</w:t>
      </w:r>
      <w:r>
        <w:rPr>
          <w:rFonts w:ascii="Times New Roman" w:eastAsia="MS Mincho"/>
        </w:rPr>
        <w:t> </w:t>
      </w:r>
      <w:r>
        <w:rPr>
          <w:rFonts w:hint="eastAsia" w:ascii="Times New Roman"/>
          <w:shd w:val="pct10" w:color="auto" w:fill="FFFFFF"/>
        </w:rPr>
        <w:t>67.100</w:t>
      </w:r>
      <w:r>
        <w:rPr>
          <w:rFonts w:ascii="Times New Roman"/>
          <w:shd w:val="pct10" w:color="auto" w:fill="FFFFFF"/>
        </w:rPr>
        <w:t>.10</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2"/>
              <w:framePr w:wrap="around"/>
              <w:ind w:firstLine="210" w:firstLineChars="100"/>
              <w:rPr>
                <w:rFonts w:ascii="Times New Roman"/>
              </w:rPr>
            </w:pPr>
            <w:bookmarkStart w:id="0" w:name="WXFLH"/>
            <w:r>
              <w:rPr>
                <w:rFonts w:hint="eastAsia" w:ascii="Times New Roman"/>
              </w:rPr>
              <w:t>C</w:t>
            </w:r>
            <w:r>
              <w:rPr>
                <w:rFonts w:ascii="Times New Roman"/>
              </w:rPr>
              <w:t xml:space="preserve">CS </w:t>
            </w:r>
            <w:bookmarkEnd w:id="0"/>
            <w:r>
              <w:rPr>
                <w:rFonts w:ascii="Times New Roman"/>
              </w:rPr>
              <w:t>X 16</w:t>
            </w:r>
            <w:r>
              <w:rPr>
                <w:rFonts w:ascii="Times New Roman"/>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0" b="508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p>
        </w:tc>
      </w:tr>
    </w:tbl>
    <w:p>
      <w:pPr>
        <w:pStyle w:val="65"/>
        <w:framePr w:wrap="around"/>
      </w:pPr>
      <w:bookmarkStart w:id="1" w:name="c1"/>
      <w:r>
        <w:fldChar w:fldCharType="begin">
          <w:ffData>
            <w:name w:val="c1"/>
            <w:enabled/>
            <w:calcOnExit w:val="0"/>
            <w:textInput>
              <w:maxLength w:val="2"/>
            </w:textInput>
          </w:ffData>
        </w:fldChar>
      </w:r>
      <w:r>
        <w:instrText xml:space="preserve"> FORMTEXT </w:instrText>
      </w:r>
      <w:r>
        <w:fldChar w:fldCharType="separate"/>
      </w:r>
      <w:r>
        <w:t>NY</w:t>
      </w:r>
      <w:r>
        <w:fldChar w:fldCharType="end"/>
      </w:r>
      <w:bookmarkEnd w:id="1"/>
    </w:p>
    <w:p>
      <w:pPr>
        <w:pStyle w:val="109"/>
        <w:framePr w:wrap="around"/>
        <w:rPr>
          <w:rFonts w:ascii="Times New Roman" w:hAnsi="Times New Roman"/>
        </w:rPr>
      </w:pPr>
      <w:r>
        <w:rPr>
          <w:rFonts w:ascii="Times New Roman" w:hAnsi="Times New Roman"/>
        </w:rPr>
        <w:t>中华人民共和国</w:t>
      </w:r>
      <w:bookmarkStart w:id="2" w:name="c2"/>
      <w:r>
        <w:rPr>
          <w:rFonts w:ascii="Times New Roman" w:hAnsi="Times New Roman"/>
        </w:rPr>
        <w:fldChar w:fldCharType="begin">
          <w:ffData>
            <w:name w:val="c2"/>
            <w:enabled/>
            <w:calcOnExit w:val="0"/>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农业</w:t>
      </w:r>
      <w:r>
        <w:rPr>
          <w:rFonts w:ascii="Times New Roman" w:hAnsi="Times New Roman"/>
        </w:rPr>
        <w:fldChar w:fldCharType="end"/>
      </w:r>
      <w:bookmarkEnd w:id="2"/>
      <w:r>
        <w:rPr>
          <w:rFonts w:ascii="Times New Roman" w:hAnsi="Times New Roman"/>
        </w:rPr>
        <w:t>行业标准</w:t>
      </w:r>
    </w:p>
    <w:p>
      <w:pPr>
        <w:pStyle w:val="46"/>
        <w:framePr w:wrap="around"/>
        <w:rPr>
          <w:rFonts w:ascii="Times New Roman"/>
        </w:rPr>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ascii="Times New Roman"/>
        </w:rPr>
        <w:t>NY</w:t>
      </w:r>
      <w:r>
        <w:rPr>
          <w:rFonts w:ascii="Times New Roman"/>
        </w:rPr>
        <w:fldChar w:fldCharType="end"/>
      </w:r>
      <w:bookmarkEnd w:id="3"/>
      <w:r>
        <w:rPr>
          <w:rFonts w:ascii="Times New Roman"/>
        </w:rPr>
        <w:t xml:space="preserve">/T </w:t>
      </w:r>
      <w:r>
        <w:rPr>
          <w:rFonts w:hint="eastAsia" w:ascii="Times New Roman"/>
        </w:rPr>
        <w:t>XXXX</w:t>
      </w:r>
      <w:r>
        <w:rPr>
          <w:rFonts w:ascii="Times New Roman"/>
        </w:rPr>
        <w:t>—</w:t>
      </w:r>
      <w:r>
        <w:rPr>
          <w:rFonts w:hint="eastAsia" w:ascii="Times New Roman"/>
        </w:rPr>
        <w:t>XXXX</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5"/>
              <w:framePr w:wrap="around"/>
              <w:rPr>
                <w:rFonts w:ascii="Times New Roman"/>
              </w:rPr>
            </w:pPr>
            <w:bookmarkStart w:id="4" w:name="DT"/>
            <w:r>
              <w:rPr>
                <w:rFonts w:ascii="Times New Roman"/>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2540" b="381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rPr>
                <w:rFonts w:ascii="Times New Roman"/>
              </w:rPr>
              <w:fldChar w:fldCharType="begin">
                <w:ffData>
                  <w:name w:val="DT"/>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4"/>
          </w:p>
        </w:tc>
      </w:tr>
    </w:tbl>
    <w:p>
      <w:pPr>
        <w:pStyle w:val="46"/>
        <w:framePr w:wrap="around"/>
        <w:rPr>
          <w:rFonts w:ascii="Times New Roman"/>
        </w:rPr>
      </w:pPr>
    </w:p>
    <w:p>
      <w:pPr>
        <w:pStyle w:val="46"/>
        <w:framePr w:wrap="around"/>
        <w:rPr>
          <w:rFonts w:ascii="Times New Roman"/>
        </w:rPr>
      </w:pPr>
    </w:p>
    <w:p>
      <w:pPr>
        <w:pStyle w:val="77"/>
        <w:framePr w:wrap="around" w:x="1336" w:y="6466"/>
        <w:rPr>
          <w:rFonts w:ascii="Times New Roman"/>
        </w:rPr>
      </w:pPr>
      <w:bookmarkStart w:id="5" w:name="_Hlk53687449"/>
      <w:r>
        <w:rPr>
          <w:rFonts w:hint="eastAsia" w:ascii="Times New Roman"/>
        </w:rPr>
        <w:t>生乳中铅的控制技术规范</w:t>
      </w:r>
      <w:bookmarkEnd w:id="5"/>
    </w:p>
    <w:p>
      <w:pPr>
        <w:pStyle w:val="78"/>
        <w:framePr w:wrap="around" w:x="1336" w:y="6466"/>
      </w:pPr>
      <w:r>
        <w:t xml:space="preserve">Technical specification for lead </w:t>
      </w:r>
      <w:r>
        <w:rPr>
          <w:rFonts w:hint="eastAsia"/>
        </w:rPr>
        <w:t>c</w:t>
      </w:r>
      <w:r>
        <w:t>ontrol in raw milk</w:t>
      </w:r>
    </w:p>
    <w:p>
      <w:pPr>
        <w:pStyle w:val="79"/>
        <w:framePr w:wrap="around" w:x="1336" w:y="6466"/>
        <w:rPr>
          <w:rFonts w:ascii="Times New Roman"/>
          <w:sz w:val="28"/>
          <w:szCs w:val="28"/>
        </w:rPr>
      </w:pPr>
      <w:r>
        <w:rPr>
          <w:rFonts w:hint="eastAsia" w:ascii="Times New Roman"/>
          <w:sz w:val="28"/>
          <w:szCs w:val="28"/>
        </w:rPr>
        <w:t>（</w:t>
      </w:r>
      <w:r>
        <w:rPr>
          <w:rFonts w:hint="eastAsia" w:ascii="Times New Roman"/>
          <w:sz w:val="28"/>
          <w:szCs w:val="28"/>
          <w:lang w:val="en-US" w:eastAsia="zh-CN"/>
        </w:rPr>
        <w:t>公开征求意见</w:t>
      </w:r>
      <w:r>
        <w:rPr>
          <w:rFonts w:hint="eastAsia" w:ascii="Times New Roman"/>
          <w:sz w:val="28"/>
          <w:szCs w:val="28"/>
        </w:rPr>
        <w:t>稿）</w:t>
      </w:r>
    </w:p>
    <w:p>
      <w:pPr>
        <w:pStyle w:val="129"/>
        <w:framePr w:wrap="around" w:hAnchor="page" w:x="1441" w:y="14057"/>
      </w:pPr>
      <w:r>
        <w:rPr>
          <w:rFonts w:hint="eastAsia"/>
        </w:rPr>
        <w:t>XXXX</w:t>
      </w:r>
      <w:r>
        <w:t xml:space="preserve"> - </w:t>
      </w:r>
      <w:r>
        <w:rPr>
          <w:rFonts w:hint="eastAsia"/>
        </w:rPr>
        <w:t>XX</w:t>
      </w:r>
      <w:r>
        <w:t xml:space="preserve"> - </w:t>
      </w:r>
      <w:r>
        <w:rPr>
          <w:rFonts w:hint="eastAsia"/>
        </w:rPr>
        <w:t>XX</w:t>
      </w:r>
      <w:r>
        <w:t>发布</w:t>
      </w:r>
    </w:p>
    <w:p>
      <w:pPr>
        <w:pStyle w:val="130"/>
        <w:framePr w:wrap="around" w:hAnchor="page" w:x="7137" w:y="14057"/>
      </w:pPr>
      <w:r>
        <w:rPr>
          <w:rFonts w:hint="eastAsia"/>
        </w:rPr>
        <w:t>XXXX</w:t>
      </w:r>
      <w:r>
        <w:t xml:space="preserve"> - </w:t>
      </w:r>
      <w:r>
        <w:rPr>
          <w:rFonts w:hint="eastAsia"/>
        </w:rPr>
        <w:t>XX</w:t>
      </w:r>
      <w:r>
        <w:t xml:space="preserve">- </w:t>
      </w:r>
      <w:r>
        <w:rPr>
          <w:rFonts w:hint="eastAsia"/>
        </w:rPr>
        <w:t>XX</w:t>
      </w:r>
      <w:r>
        <w:t>实施</w:t>
      </w:r>
    </w:p>
    <w:p>
      <w:pPr>
        <w:pStyle w:val="110"/>
        <w:framePr w:wrap="around"/>
        <w:rPr>
          <w:rFonts w:ascii="Times New Roman"/>
        </w:rPr>
      </w:pPr>
      <w:r>
        <w:rPr>
          <w:rFonts w:ascii="Times New Roman"/>
        </w:rPr>
        <w:fldChar w:fldCharType="begin">
          <w:ffData>
            <w:name w:val="fm"/>
            <w:enabled/>
            <w:calcOnExit w:val="0"/>
            <w:textInput>
              <w:default w:val="中华人民共和国农业农村部"/>
            </w:textInput>
          </w:ffData>
        </w:fldChar>
      </w:r>
      <w:bookmarkStart w:id="6" w:name="fm"/>
      <w:r>
        <w:rPr>
          <w:rFonts w:ascii="Times New Roman"/>
        </w:rPr>
        <w:instrText xml:space="preserve"> FORMTEXT </w:instrText>
      </w:r>
      <w:r>
        <w:rPr>
          <w:rFonts w:ascii="Times New Roman"/>
        </w:rPr>
        <w:fldChar w:fldCharType="separate"/>
      </w:r>
      <w:r>
        <w:rPr>
          <w:rFonts w:hint="eastAsia" w:ascii="Times New Roman"/>
        </w:rPr>
        <w:t>中华人民共和国农业农村部</w:t>
      </w:r>
      <w:r>
        <w:rPr>
          <w:rFonts w:ascii="Times New Roman"/>
        </w:rPr>
        <w:fldChar w:fldCharType="end"/>
      </w:r>
      <w:bookmarkEnd w:id="6"/>
      <w:r>
        <w:rPr>
          <w:rFonts w:ascii="Times New Roman" w:eastAsia="MS Mincho"/>
        </w:rPr>
        <w:t>   </w:t>
      </w:r>
      <w:r>
        <w:rPr>
          <w:rStyle w:val="72"/>
          <w:rFonts w:ascii="Times New Roman"/>
        </w:rPr>
        <w:t>发布</w:t>
      </w:r>
    </w:p>
    <w:p>
      <w:pPr>
        <w:pStyle w:val="22"/>
        <w:rPr>
          <w:rFonts w:asci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fmt="upperRoman" w:start="1"/>
          <w:cols w:space="425" w:num="1"/>
          <w:docGrid w:type="lines" w:linePitch="312" w:charSpace="0"/>
        </w:sectPr>
      </w:pPr>
      <w:r>
        <w:rPr>
          <w:rFonts w:ascii="Times New Roman"/>
        </w:rPr>
        <mc:AlternateContent>
          <mc:Choice Requires="wps">
            <w:drawing>
              <wp:anchor distT="0" distB="0" distL="114300" distR="114300" simplePos="0" relativeHeight="251662336" behindDoc="0" locked="0" layoutInCell="1" allowOverlap="1">
                <wp:simplePos x="0" y="0"/>
                <wp:positionH relativeFrom="column">
                  <wp:posOffset>52070</wp:posOffset>
                </wp:positionH>
                <wp:positionV relativeFrom="paragraph">
                  <wp:posOffset>8942070</wp:posOffset>
                </wp:positionV>
                <wp:extent cx="6120130" cy="0"/>
                <wp:effectExtent l="12065" t="15875" r="27305" b="22225"/>
                <wp:wrapNone/>
                <wp:docPr id="7"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4.1pt;margin-top:704.1pt;height:0pt;width:481.9pt;z-index:251662336;mso-width-relative:page;mso-height-relative:page;" filled="f" stroked="t" coordsize="21600,21600" o:gfxdata="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Uv07NUAAAALAQAADwAAAAAAAAABACAAAAAiAAAAZHJzL2Rvd25y&#10;ZXYueG1sUEsBAhQAFAAAAAgAh07iQEDKfVPIAQAAoAMAAA4AAAAAAAAAAQAgAAAAJAEAAGRycy9l&#10;Mm9Eb2MueG1sUEsFBgAAAAAGAAYAWQEAAF4FAAAAAA==&#10;">
                <v:fill on="f" focussize="0,0"/>
                <v:stroke color="#000000" joinstyle="round"/>
                <v:imagedata o:title=""/>
                <o:lock v:ext="edit" aspectratio="f"/>
              </v:line>
            </w:pict>
          </mc:Fallback>
        </mc:AlternateContent>
      </w:r>
      <w:r>
        <w:rPr>
          <w:rFonts w:ascii="Times New Roman"/>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12065" t="15875" r="27305" b="22225"/>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pPr>
        <w:pStyle w:val="111"/>
        <w:rPr>
          <w:rFonts w:ascii="Times New Roman"/>
        </w:rPr>
      </w:pPr>
      <w:bookmarkStart w:id="7" w:name="_Toc364843279"/>
      <w:r>
        <w:rPr>
          <w:rFonts w:ascii="Times New Roman"/>
        </w:rPr>
        <w:t>前</w:t>
      </w:r>
      <w:bookmarkStart w:id="8" w:name="BKQY"/>
      <w:r>
        <w:rPr>
          <w:rFonts w:ascii="Times New Roman" w:eastAsia="MS Mincho"/>
        </w:rPr>
        <w:t> </w:t>
      </w:r>
      <w:r>
        <w:rPr>
          <w:rFonts w:ascii="Times New Roman" w:eastAsia="宋体"/>
        </w:rPr>
        <w:t xml:space="preserve"> </w:t>
      </w:r>
      <w:r>
        <w:rPr>
          <w:rFonts w:ascii="Times New Roman" w:eastAsia="MS Mincho"/>
        </w:rPr>
        <w:t> </w:t>
      </w:r>
      <w:r>
        <w:rPr>
          <w:rFonts w:ascii="Times New Roman"/>
        </w:rPr>
        <w:t>言</w:t>
      </w:r>
      <w:bookmarkEnd w:id="7"/>
      <w:bookmarkEnd w:id="8"/>
    </w:p>
    <w:p>
      <w:pPr>
        <w:pStyle w:val="22"/>
        <w:spacing w:line="360" w:lineRule="auto"/>
        <w:ind w:firstLine="424" w:firstLineChars="202"/>
        <w:rPr>
          <w:rFonts w:ascii="Times New Roman" w:eastAsiaTheme="minorEastAsia"/>
        </w:rPr>
      </w:pPr>
      <w:r>
        <w:rPr>
          <w:rFonts w:asciiTheme="minorEastAsia" w:hAnsiTheme="minorEastAsia" w:eastAsiaTheme="minorEastAsia"/>
        </w:rPr>
        <w:t>本</w:t>
      </w:r>
      <w:r>
        <w:rPr>
          <w:rFonts w:hint="eastAsia" w:asciiTheme="minorEastAsia" w:hAnsiTheme="minorEastAsia" w:eastAsiaTheme="minorEastAsia"/>
        </w:rPr>
        <w:t>文件</w:t>
      </w:r>
      <w:r>
        <w:rPr>
          <w:rFonts w:ascii="Times New Roman" w:eastAsiaTheme="minorEastAsia"/>
        </w:rPr>
        <w:t>按照GB/T 1.1</w:t>
      </w:r>
      <w:r>
        <w:rPr>
          <w:rFonts w:hint="eastAsia" w:ascii="Times New Roman" w:eastAsiaTheme="minorEastAsia"/>
        </w:rPr>
        <w:t>—</w:t>
      </w:r>
      <w:r>
        <w:rPr>
          <w:rFonts w:ascii="Times New Roman" w:eastAsiaTheme="minorEastAsia"/>
        </w:rPr>
        <w:t>2020《标准化工作导则 第1部分：标准化文件的结构和起草规则》的规定起草。</w:t>
      </w:r>
    </w:p>
    <w:p>
      <w:pPr>
        <w:spacing w:line="360" w:lineRule="auto"/>
        <w:ind w:right="560" w:firstLine="424" w:firstLineChars="202"/>
        <w:jc w:val="left"/>
        <w:rPr>
          <w:rFonts w:eastAsiaTheme="minorEastAsia"/>
          <w:szCs w:val="21"/>
        </w:rPr>
      </w:pPr>
      <w:r>
        <w:rPr>
          <w:rFonts w:eastAsiaTheme="minorEastAsia"/>
          <w:szCs w:val="21"/>
        </w:rPr>
        <w:t>请注意本文件的某些内容可能涉及专利。本文件的发布机构不承担识别专利的责任。</w:t>
      </w:r>
    </w:p>
    <w:p>
      <w:pPr>
        <w:spacing w:line="360" w:lineRule="auto"/>
        <w:ind w:right="560" w:firstLine="424" w:firstLineChars="202"/>
        <w:jc w:val="left"/>
        <w:rPr>
          <w:rFonts w:eastAsiaTheme="minorEastAsia"/>
          <w:szCs w:val="21"/>
        </w:rPr>
      </w:pPr>
      <w:r>
        <w:rPr>
          <w:rFonts w:eastAsiaTheme="minorEastAsia"/>
          <w:szCs w:val="21"/>
        </w:rPr>
        <w:t>本文件由</w:t>
      </w:r>
      <w:r>
        <w:rPr>
          <w:rFonts w:eastAsiaTheme="minorEastAsia"/>
        </w:rPr>
        <w:t>农业农村部畜牧兽医局</w:t>
      </w:r>
      <w:r>
        <w:rPr>
          <w:rFonts w:eastAsiaTheme="minorEastAsia"/>
          <w:szCs w:val="21"/>
        </w:rPr>
        <w:t>提出。</w:t>
      </w:r>
    </w:p>
    <w:p>
      <w:pPr>
        <w:spacing w:line="360" w:lineRule="auto"/>
        <w:ind w:right="560" w:firstLine="424" w:firstLineChars="202"/>
        <w:jc w:val="left"/>
        <w:rPr>
          <w:rFonts w:eastAsiaTheme="minorEastAsia"/>
        </w:rPr>
      </w:pPr>
      <w:r>
        <w:rPr>
          <w:rFonts w:eastAsiaTheme="minorEastAsia"/>
          <w:szCs w:val="21"/>
        </w:rPr>
        <w:t>本文件由</w:t>
      </w:r>
      <w:r>
        <w:rPr>
          <w:rFonts w:eastAsiaTheme="minorEastAsia"/>
        </w:rPr>
        <w:t>全国畜牧业标准化技术委员会（SAC/TC 274）</w:t>
      </w:r>
      <w:r>
        <w:rPr>
          <w:rFonts w:eastAsiaTheme="minorEastAsia"/>
          <w:szCs w:val="21"/>
        </w:rPr>
        <w:t>归口</w:t>
      </w:r>
      <w:r>
        <w:rPr>
          <w:rFonts w:eastAsiaTheme="minorEastAsia"/>
        </w:rPr>
        <w:t>。</w:t>
      </w:r>
    </w:p>
    <w:p>
      <w:pPr>
        <w:spacing w:line="360" w:lineRule="auto"/>
        <w:ind w:right="-2" w:firstLine="424" w:firstLineChars="202"/>
        <w:jc w:val="left"/>
        <w:rPr>
          <w:color w:val="FF0000"/>
          <w:szCs w:val="21"/>
        </w:rPr>
      </w:pPr>
      <w:r>
        <w:rPr>
          <w:szCs w:val="21"/>
        </w:rPr>
        <w:t>本</w:t>
      </w:r>
      <w:r>
        <w:rPr>
          <w:rFonts w:hint="eastAsia"/>
          <w:szCs w:val="21"/>
        </w:rPr>
        <w:t>文件</w:t>
      </w:r>
      <w:r>
        <w:rPr>
          <w:szCs w:val="21"/>
        </w:rPr>
        <w:t>起草单位：</w:t>
      </w:r>
      <w:r>
        <w:rPr>
          <w:rFonts w:hint="eastAsia"/>
          <w:szCs w:val="21"/>
        </w:rPr>
        <w:t>中国农业科学院北京畜牧兽医研究所、农业农村部奶产品质量安全风险评估实验室（北京）、农业农村部奶及奶制品质量监督检验测试中心（北京）、山东省农业科学院农业质量标准与检测技术研究所。</w:t>
      </w:r>
    </w:p>
    <w:p>
      <w:pPr>
        <w:spacing w:line="360" w:lineRule="auto"/>
        <w:ind w:firstLine="424" w:firstLineChars="202"/>
        <w:jc w:val="left"/>
        <w:rPr>
          <w:color w:val="000000"/>
          <w:szCs w:val="21"/>
        </w:rPr>
      </w:pPr>
      <w:r>
        <w:rPr>
          <w:szCs w:val="21"/>
        </w:rPr>
        <w:t>本</w:t>
      </w:r>
      <w:r>
        <w:rPr>
          <w:rFonts w:hint="eastAsia"/>
          <w:szCs w:val="21"/>
        </w:rPr>
        <w:t>文件</w:t>
      </w:r>
      <w:r>
        <w:rPr>
          <w:szCs w:val="21"/>
        </w:rPr>
        <w:t>主要起草人：</w:t>
      </w:r>
      <w:bookmarkStart w:id="13" w:name="_GoBack"/>
      <w:bookmarkEnd w:id="13"/>
    </w:p>
    <w:p>
      <w:pPr>
        <w:pStyle w:val="22"/>
        <w:ind w:firstLine="0" w:firstLineChars="0"/>
        <w:rPr>
          <w:rFonts w:ascii="Times New Roman"/>
        </w:rPr>
        <w:sectPr>
          <w:headerReference r:id="rId9" w:type="default"/>
          <w:footerReference r:id="rId10" w:type="default"/>
          <w:pgSz w:w="11906" w:h="16838"/>
          <w:pgMar w:top="567" w:right="1134" w:bottom="1134" w:left="1418" w:header="1418" w:footer="1134" w:gutter="0"/>
          <w:pgNumType w:fmt="upperRoman" w:start="1"/>
          <w:cols w:space="425" w:num="1"/>
          <w:formProt w:val="0"/>
          <w:docGrid w:type="lines" w:linePitch="312" w:charSpace="0"/>
        </w:sectPr>
      </w:pPr>
    </w:p>
    <w:p>
      <w:pPr>
        <w:spacing w:line="360" w:lineRule="auto"/>
        <w:ind w:right="-328" w:rightChars="-156"/>
        <w:jc w:val="center"/>
        <w:rPr>
          <w:rFonts w:eastAsia="黑体"/>
          <w:sz w:val="32"/>
          <w:szCs w:val="32"/>
        </w:rPr>
      </w:pPr>
      <w:r>
        <w:rPr>
          <w:rFonts w:hint="eastAsia" w:eastAsia="黑体"/>
          <w:sz w:val="32"/>
          <w:szCs w:val="32"/>
        </w:rPr>
        <w:t>生乳中铅的控制技术规范</w:t>
      </w:r>
    </w:p>
    <w:p>
      <w:pPr>
        <w:pStyle w:val="44"/>
        <w:jc w:val="left"/>
        <w:rPr>
          <w:rFonts w:ascii="Times New Roman"/>
        </w:rPr>
      </w:pPr>
      <w:bookmarkStart w:id="9" w:name="_Toc364843280"/>
      <w:r>
        <w:rPr>
          <w:rFonts w:ascii="Times New Roman"/>
        </w:rPr>
        <w:t>范围</w:t>
      </w:r>
      <w:bookmarkEnd w:id="9"/>
    </w:p>
    <w:p>
      <w:pPr>
        <w:spacing w:line="360" w:lineRule="auto"/>
        <w:ind w:right="28" w:firstLine="424" w:firstLineChars="202"/>
      </w:pPr>
      <w:r>
        <w:rPr>
          <w:rFonts w:hint="eastAsia"/>
        </w:rPr>
        <w:t>本文件规定了生乳生产和贮运过程中</w:t>
      </w:r>
      <w:r>
        <w:t>对</w:t>
      </w:r>
      <w:r>
        <w:rPr>
          <w:rFonts w:hint="eastAsia"/>
        </w:rPr>
        <w:t>铅含量的控</w:t>
      </w:r>
      <w:r>
        <w:t>制要求</w:t>
      </w:r>
      <w:r>
        <w:rPr>
          <w:rFonts w:hint="eastAsia"/>
        </w:rPr>
        <w:t>，</w:t>
      </w:r>
      <w:r>
        <w:t>以</w:t>
      </w:r>
      <w:r>
        <w:rPr>
          <w:rFonts w:hint="eastAsia"/>
        </w:rPr>
        <w:t>及生</w:t>
      </w:r>
      <w:r>
        <w:t>乳中铅含量的</w:t>
      </w:r>
      <w:r>
        <w:rPr>
          <w:rFonts w:hint="eastAsia"/>
        </w:rPr>
        <w:t>测定、纠偏、核实和记录要</w:t>
      </w:r>
      <w:r>
        <w:t>求</w:t>
      </w:r>
      <w:r>
        <w:rPr>
          <w:rFonts w:hint="eastAsia"/>
        </w:rPr>
        <w:t>。</w:t>
      </w:r>
    </w:p>
    <w:p>
      <w:pPr>
        <w:spacing w:line="360" w:lineRule="auto"/>
        <w:ind w:right="28" w:firstLine="424" w:firstLineChars="202"/>
        <w:rPr>
          <w:szCs w:val="21"/>
        </w:rPr>
      </w:pPr>
      <w:r>
        <w:rPr>
          <w:rFonts w:hint="eastAsia"/>
        </w:rPr>
        <w:t>本文件适用于生乳生产和贮运过程中铅的控制。</w:t>
      </w:r>
    </w:p>
    <w:p>
      <w:pPr>
        <w:pStyle w:val="44"/>
        <w:jc w:val="left"/>
        <w:rPr>
          <w:rFonts w:ascii="Times New Roman"/>
        </w:rPr>
      </w:pPr>
      <w:bookmarkStart w:id="10" w:name="_Toc364843281"/>
      <w:r>
        <w:rPr>
          <w:rFonts w:ascii="Times New Roman"/>
        </w:rPr>
        <w:t>规范性引用文件</w:t>
      </w:r>
      <w:bookmarkEnd w:id="10"/>
    </w:p>
    <w:p>
      <w:pPr>
        <w:spacing w:line="360" w:lineRule="auto"/>
        <w:ind w:right="28" w:firstLine="424" w:firstLineChars="202"/>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360" w:lineRule="auto"/>
        <w:ind w:right="28" w:firstLine="424" w:firstLineChars="202"/>
      </w:pPr>
      <w:r>
        <w:rPr>
          <w:rFonts w:hint="eastAsia"/>
        </w:rPr>
        <w:t>GB 3095</w:t>
      </w:r>
      <w:r>
        <w:t xml:space="preserve"> </w:t>
      </w:r>
      <w:r>
        <w:rPr>
          <w:rFonts w:hint="eastAsia"/>
        </w:rPr>
        <w:t>环境空气质量标准</w:t>
      </w:r>
    </w:p>
    <w:p>
      <w:pPr>
        <w:spacing w:line="360" w:lineRule="auto"/>
        <w:ind w:right="28" w:firstLine="424" w:firstLineChars="202"/>
      </w:pPr>
      <w:r>
        <w:rPr>
          <w:rFonts w:hint="eastAsia"/>
        </w:rPr>
        <w:t>GB 4806.7 食品安全国家标准 食品接触用塑料材料及制品</w:t>
      </w:r>
    </w:p>
    <w:p>
      <w:pPr>
        <w:spacing w:line="360" w:lineRule="auto"/>
        <w:ind w:right="28" w:firstLine="424" w:firstLineChars="202"/>
      </w:pPr>
      <w:r>
        <w:rPr>
          <w:rFonts w:hint="eastAsia"/>
        </w:rPr>
        <w:t>GB 4806.9 食品安全国家标准 食品接触用金属材料及制品</w:t>
      </w:r>
    </w:p>
    <w:p>
      <w:pPr>
        <w:spacing w:line="360" w:lineRule="auto"/>
        <w:ind w:right="28" w:firstLine="424" w:firstLineChars="202"/>
      </w:pPr>
      <w:r>
        <w:rPr>
          <w:rFonts w:hint="eastAsia"/>
        </w:rPr>
        <w:t>GB 5009.12 食品安全国家标准 食品中铅的测定</w:t>
      </w:r>
    </w:p>
    <w:p>
      <w:pPr>
        <w:spacing w:line="360" w:lineRule="auto"/>
        <w:ind w:right="28" w:firstLine="424" w:firstLineChars="202"/>
      </w:pPr>
      <w:r>
        <w:rPr>
          <w:rFonts w:hint="eastAsia"/>
        </w:rPr>
        <w:t>NY/T 1167</w:t>
      </w:r>
      <w:r>
        <w:t xml:space="preserve"> </w:t>
      </w:r>
      <w:r>
        <w:rPr>
          <w:rFonts w:hint="eastAsia"/>
        </w:rPr>
        <w:t>畜禽场环境质量及卫生控制规范</w:t>
      </w:r>
    </w:p>
    <w:p>
      <w:pPr>
        <w:pStyle w:val="44"/>
        <w:jc w:val="left"/>
      </w:pPr>
      <w:bookmarkStart w:id="11" w:name="_Hlk512695265"/>
      <w:r>
        <w:rPr>
          <w:rFonts w:hint="eastAsia"/>
        </w:rPr>
        <w:t>术语和定义</w:t>
      </w:r>
    </w:p>
    <w:p>
      <w:pPr>
        <w:spacing w:line="360" w:lineRule="auto"/>
        <w:ind w:right="28" w:firstLine="424" w:firstLineChars="202"/>
      </w:pPr>
      <w:r>
        <w:rPr>
          <w:rFonts w:hint="eastAsia"/>
        </w:rPr>
        <w:t>本文件没有需要界定的术语和定义。</w:t>
      </w:r>
    </w:p>
    <w:p>
      <w:pPr>
        <w:pStyle w:val="44"/>
        <w:jc w:val="left"/>
      </w:pPr>
      <w:r>
        <w:rPr>
          <w:rFonts w:hint="eastAsia" w:hAnsi="黑体"/>
          <w:szCs w:val="21"/>
        </w:rPr>
        <w:t>奶畜</w:t>
      </w:r>
      <w:r>
        <w:rPr>
          <w:rFonts w:hint="eastAsia"/>
        </w:rPr>
        <w:t>养殖环</w:t>
      </w:r>
      <w:r>
        <w:t>境与投入品</w:t>
      </w:r>
    </w:p>
    <w:p>
      <w:pPr>
        <w:widowControl/>
        <w:spacing w:before="156" w:beforeLines="50" w:after="156" w:afterLines="50"/>
        <w:jc w:val="left"/>
        <w:outlineLvl w:val="2"/>
        <w:rPr>
          <w:rFonts w:ascii="黑体" w:hAnsi="黑体" w:eastAsia="黑体"/>
          <w:kern w:val="0"/>
          <w:szCs w:val="21"/>
        </w:rPr>
      </w:pPr>
      <w:r>
        <w:rPr>
          <w:rFonts w:ascii="黑体" w:hAnsi="黑体" w:eastAsia="黑体"/>
          <w:kern w:val="0"/>
          <w:szCs w:val="21"/>
        </w:rPr>
        <w:t>4.</w:t>
      </w:r>
      <w:r>
        <w:rPr>
          <w:rFonts w:hint="eastAsia" w:ascii="黑体" w:hAnsi="黑体" w:eastAsia="黑体"/>
          <w:kern w:val="0"/>
          <w:szCs w:val="21"/>
        </w:rPr>
        <w:t>1养殖环境</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奶畜场环境</w:t>
      </w:r>
      <w:r>
        <w:rPr>
          <w:kern w:val="0"/>
          <w:szCs w:val="21"/>
        </w:rPr>
        <w:t>质量</w:t>
      </w:r>
      <w:r>
        <w:rPr>
          <w:rFonts w:hint="eastAsia"/>
          <w:kern w:val="0"/>
          <w:szCs w:val="21"/>
        </w:rPr>
        <w:t>应符合NY/T 1167的规定；大气应符合G</w:t>
      </w:r>
      <w:r>
        <w:rPr>
          <w:kern w:val="0"/>
          <w:szCs w:val="21"/>
        </w:rPr>
        <w:t>B 3095的</w:t>
      </w:r>
      <w:r>
        <w:rPr>
          <w:rFonts w:hint="eastAsia"/>
          <w:kern w:val="0"/>
          <w:szCs w:val="21"/>
        </w:rPr>
        <w:t>规定</w:t>
      </w:r>
      <w:r>
        <w:rPr>
          <w:kern w:val="0"/>
          <w:szCs w:val="21"/>
        </w:rPr>
        <w:t>。</w:t>
      </w:r>
    </w:p>
    <w:p>
      <w:pPr>
        <w:widowControl/>
        <w:spacing w:before="156" w:beforeLines="50" w:after="156" w:afterLines="50"/>
        <w:jc w:val="left"/>
        <w:outlineLvl w:val="2"/>
        <w:rPr>
          <w:rFonts w:ascii="黑体" w:hAnsi="黑体" w:eastAsia="黑体"/>
          <w:kern w:val="0"/>
          <w:szCs w:val="21"/>
        </w:rPr>
      </w:pPr>
      <w:r>
        <w:rPr>
          <w:rFonts w:ascii="黑体" w:hAnsi="黑体" w:eastAsia="黑体"/>
          <w:kern w:val="0"/>
          <w:szCs w:val="21"/>
        </w:rPr>
        <w:t>4.</w:t>
      </w:r>
      <w:r>
        <w:rPr>
          <w:rFonts w:hint="eastAsia" w:ascii="黑体" w:hAnsi="黑体" w:eastAsia="黑体"/>
          <w:kern w:val="0"/>
          <w:szCs w:val="21"/>
        </w:rPr>
        <w:t>2饮用水</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奶畜饮用水中铅含量应小</w:t>
      </w:r>
      <w:r>
        <w:rPr>
          <w:kern w:val="0"/>
          <w:szCs w:val="21"/>
        </w:rPr>
        <w:t xml:space="preserve">于0.01 </w:t>
      </w:r>
      <w:r>
        <w:rPr>
          <w:rFonts w:hint="eastAsia"/>
          <w:kern w:val="0"/>
          <w:szCs w:val="21"/>
        </w:rPr>
        <w:t>mg/L。</w:t>
      </w:r>
    </w:p>
    <w:p>
      <w:pPr>
        <w:widowControl/>
        <w:spacing w:before="156" w:beforeLines="50" w:after="156" w:afterLines="50"/>
        <w:jc w:val="left"/>
        <w:outlineLvl w:val="2"/>
        <w:rPr>
          <w:rFonts w:ascii="黑体" w:hAnsi="黑体" w:eastAsia="黑体"/>
          <w:kern w:val="0"/>
          <w:szCs w:val="21"/>
        </w:rPr>
      </w:pPr>
      <w:r>
        <w:rPr>
          <w:rFonts w:ascii="黑体" w:hAnsi="黑体" w:eastAsia="黑体"/>
          <w:kern w:val="0"/>
          <w:szCs w:val="21"/>
        </w:rPr>
        <w:t>4</w:t>
      </w:r>
      <w:r>
        <w:rPr>
          <w:rFonts w:hint="eastAsia" w:ascii="黑体" w:hAnsi="黑体" w:eastAsia="黑体"/>
          <w:kern w:val="0"/>
          <w:szCs w:val="21"/>
        </w:rPr>
        <w:t>.3饲料</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奶畜全混合日粮中铅含量（以</w:t>
      </w:r>
      <w:r>
        <w:rPr>
          <w:kern w:val="0"/>
          <w:szCs w:val="21"/>
        </w:rPr>
        <w:t>干物质</w:t>
      </w:r>
      <w:r>
        <w:rPr>
          <w:rFonts w:hint="eastAsia"/>
          <w:kern w:val="0"/>
          <w:szCs w:val="21"/>
        </w:rPr>
        <w:t>计）应小</w:t>
      </w:r>
      <w:r>
        <w:rPr>
          <w:kern w:val="0"/>
          <w:szCs w:val="21"/>
        </w:rPr>
        <w:t>于或等于</w:t>
      </w:r>
      <w:r>
        <w:rPr>
          <w:rFonts w:hint="eastAsia"/>
          <w:kern w:val="0"/>
          <w:szCs w:val="21"/>
        </w:rPr>
        <w:t>5 mg/kg。</w:t>
      </w:r>
    </w:p>
    <w:p>
      <w:pPr>
        <w:pStyle w:val="44"/>
        <w:jc w:val="left"/>
      </w:pPr>
      <w:r>
        <w:rPr>
          <w:rFonts w:hint="eastAsia"/>
        </w:rPr>
        <w:t>挤乳机及管道</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5.1 材质</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挤乳机及管道中与生</w:t>
      </w:r>
      <w:r>
        <w:rPr>
          <w:kern w:val="0"/>
          <w:szCs w:val="21"/>
        </w:rPr>
        <w:t>乳直接接触的</w:t>
      </w:r>
      <w:r>
        <w:rPr>
          <w:rFonts w:hint="eastAsia"/>
          <w:kern w:val="0"/>
          <w:szCs w:val="21"/>
        </w:rPr>
        <w:t>塑料材料，铅</w:t>
      </w:r>
      <w:r>
        <w:rPr>
          <w:kern w:val="0"/>
          <w:szCs w:val="21"/>
        </w:rPr>
        <w:t>含量</w:t>
      </w:r>
      <w:r>
        <w:rPr>
          <w:rFonts w:hint="eastAsia"/>
          <w:kern w:val="0"/>
          <w:szCs w:val="21"/>
        </w:rPr>
        <w:t>应符合GB 4806.7的规定；金属材料的</w:t>
      </w:r>
      <w:r>
        <w:rPr>
          <w:kern w:val="0"/>
          <w:szCs w:val="21"/>
        </w:rPr>
        <w:t>铅含量</w:t>
      </w:r>
      <w:r>
        <w:rPr>
          <w:rFonts w:hint="eastAsia"/>
          <w:kern w:val="0"/>
          <w:szCs w:val="21"/>
        </w:rPr>
        <w:t>应符合GB 4806.9的规定。</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5.2消毒剂</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挤乳机及管道消毒剂铅</w:t>
      </w:r>
      <w:r>
        <w:rPr>
          <w:kern w:val="0"/>
          <w:szCs w:val="21"/>
        </w:rPr>
        <w:t>含量</w:t>
      </w:r>
      <w:r>
        <w:rPr>
          <w:rFonts w:hint="eastAsia"/>
          <w:kern w:val="0"/>
          <w:szCs w:val="21"/>
        </w:rPr>
        <w:t>应</w:t>
      </w:r>
      <w:r>
        <w:rPr>
          <w:kern w:val="0"/>
          <w:szCs w:val="21"/>
        </w:rPr>
        <w:t>小于</w:t>
      </w:r>
      <w:r>
        <w:rPr>
          <w:rFonts w:hint="eastAsia"/>
          <w:kern w:val="0"/>
          <w:szCs w:val="21"/>
        </w:rPr>
        <w:t>或</w:t>
      </w:r>
      <w:r>
        <w:rPr>
          <w:kern w:val="0"/>
          <w:szCs w:val="21"/>
        </w:rPr>
        <w:t>等于30 mg/kg</w:t>
      </w:r>
      <w:r>
        <w:rPr>
          <w:rFonts w:hint="eastAsia"/>
          <w:kern w:val="0"/>
          <w:szCs w:val="21"/>
        </w:rPr>
        <w:t>。</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5.3清洁用水</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挤乳机及管道清洁用水铅含量应小</w:t>
      </w:r>
      <w:r>
        <w:rPr>
          <w:kern w:val="0"/>
          <w:szCs w:val="21"/>
        </w:rPr>
        <w:t>于</w:t>
      </w:r>
      <w:r>
        <w:rPr>
          <w:rFonts w:hint="eastAsia"/>
          <w:kern w:val="0"/>
          <w:szCs w:val="21"/>
        </w:rPr>
        <w:t>0.01 mg/L。冲洗方式为单向冲洗。</w:t>
      </w:r>
    </w:p>
    <w:p>
      <w:pPr>
        <w:pStyle w:val="44"/>
        <w:jc w:val="left"/>
      </w:pPr>
      <w:r>
        <w:rPr>
          <w:rFonts w:hint="eastAsia"/>
        </w:rPr>
        <w:t>贮运</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6.1</w:t>
      </w:r>
      <w:bookmarkStart w:id="12" w:name="_Hlk61527604"/>
      <w:r>
        <w:rPr>
          <w:rFonts w:hint="eastAsia" w:ascii="黑体" w:hAnsi="黑体" w:eastAsia="黑体"/>
          <w:kern w:val="0"/>
          <w:szCs w:val="21"/>
        </w:rPr>
        <w:t>贮运容器</w:t>
      </w:r>
      <w:bookmarkEnd w:id="12"/>
    </w:p>
    <w:p>
      <w:pPr>
        <w:widowControl/>
        <w:spacing w:before="156" w:beforeLines="50" w:after="156" w:afterLines="50" w:line="360" w:lineRule="auto"/>
        <w:ind w:firstLine="420" w:firstLineChars="200"/>
        <w:jc w:val="left"/>
        <w:outlineLvl w:val="3"/>
        <w:rPr>
          <w:kern w:val="0"/>
          <w:szCs w:val="21"/>
        </w:rPr>
      </w:pPr>
      <w:r>
        <w:rPr>
          <w:rFonts w:hint="eastAsia"/>
          <w:kern w:val="0"/>
          <w:szCs w:val="21"/>
        </w:rPr>
        <w:t>生乳贮存、运输应配备直冷式或带有制冷系统的不锈钢贮奶罐，容器内部使用材料应符合GB 4806.9的规定。</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6.</w:t>
      </w:r>
      <w:r>
        <w:rPr>
          <w:rFonts w:ascii="黑体" w:hAnsi="黑体" w:eastAsia="黑体"/>
          <w:kern w:val="0"/>
          <w:szCs w:val="21"/>
        </w:rPr>
        <w:t>2</w:t>
      </w:r>
      <w:r>
        <w:rPr>
          <w:rFonts w:hint="eastAsia" w:ascii="黑体" w:hAnsi="黑体" w:eastAsia="黑体"/>
          <w:kern w:val="0"/>
          <w:szCs w:val="21"/>
        </w:rPr>
        <w:t>消毒剂</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消毒剂铅含量应小</w:t>
      </w:r>
      <w:r>
        <w:rPr>
          <w:kern w:val="0"/>
          <w:szCs w:val="21"/>
        </w:rPr>
        <w:t>于或等于</w:t>
      </w:r>
      <w:r>
        <w:rPr>
          <w:rFonts w:hint="eastAsia"/>
          <w:kern w:val="0"/>
          <w:szCs w:val="21"/>
        </w:rPr>
        <w:t>30 mg/kg。</w:t>
      </w:r>
    </w:p>
    <w:p>
      <w:pPr>
        <w:widowControl/>
        <w:spacing w:before="156" w:beforeLines="50" w:after="156" w:afterLines="50"/>
        <w:jc w:val="left"/>
        <w:outlineLvl w:val="2"/>
        <w:rPr>
          <w:rFonts w:ascii="黑体" w:hAnsi="黑体" w:eastAsia="黑体"/>
          <w:kern w:val="0"/>
          <w:szCs w:val="21"/>
        </w:rPr>
      </w:pPr>
      <w:r>
        <w:rPr>
          <w:rFonts w:hint="eastAsia" w:ascii="黑体" w:hAnsi="黑体" w:eastAsia="黑体"/>
          <w:kern w:val="0"/>
          <w:szCs w:val="21"/>
        </w:rPr>
        <w:t>6.</w:t>
      </w:r>
      <w:r>
        <w:rPr>
          <w:rFonts w:ascii="黑体" w:hAnsi="黑体" w:eastAsia="黑体"/>
          <w:kern w:val="0"/>
          <w:szCs w:val="21"/>
        </w:rPr>
        <w:t>3 清洁用水</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清洁用水铅含量应小</w:t>
      </w:r>
      <w:r>
        <w:rPr>
          <w:kern w:val="0"/>
          <w:szCs w:val="21"/>
        </w:rPr>
        <w:t>于</w:t>
      </w:r>
      <w:r>
        <w:rPr>
          <w:rFonts w:hint="eastAsia"/>
          <w:kern w:val="0"/>
          <w:szCs w:val="21"/>
        </w:rPr>
        <w:t>0.01 mg/L。</w:t>
      </w:r>
    </w:p>
    <w:p>
      <w:pPr>
        <w:pStyle w:val="44"/>
        <w:jc w:val="left"/>
      </w:pPr>
      <w:r>
        <w:rPr>
          <w:rFonts w:hint="eastAsia"/>
        </w:rPr>
        <w:t>检测、纠偏与核实</w:t>
      </w:r>
    </w:p>
    <w:p>
      <w:pPr>
        <w:pStyle w:val="41"/>
        <w:rPr>
          <w:rFonts w:ascii="Times New Roman"/>
        </w:rPr>
      </w:pPr>
      <w:r>
        <w:rPr>
          <w:rFonts w:hint="eastAsia" w:ascii="Times New Roman"/>
        </w:rPr>
        <w:t>检测</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生乳</w:t>
      </w:r>
      <w:r>
        <w:rPr>
          <w:kern w:val="0"/>
          <w:szCs w:val="21"/>
        </w:rPr>
        <w:t>中铅的测定</w:t>
      </w:r>
      <w:r>
        <w:rPr>
          <w:rFonts w:hint="eastAsia"/>
          <w:kern w:val="0"/>
          <w:szCs w:val="21"/>
        </w:rPr>
        <w:t>方法按照G</w:t>
      </w:r>
      <w:r>
        <w:rPr>
          <w:kern w:val="0"/>
          <w:szCs w:val="21"/>
        </w:rPr>
        <w:t>B 5009.12</w:t>
      </w:r>
      <w:r>
        <w:rPr>
          <w:rFonts w:hint="eastAsia"/>
          <w:kern w:val="0"/>
          <w:szCs w:val="21"/>
        </w:rPr>
        <w:t>执行</w:t>
      </w:r>
      <w:r>
        <w:rPr>
          <w:kern w:val="0"/>
          <w:szCs w:val="21"/>
        </w:rPr>
        <w:t>。</w:t>
      </w:r>
    </w:p>
    <w:p>
      <w:pPr>
        <w:pStyle w:val="41"/>
        <w:rPr>
          <w:rFonts w:ascii="Times New Roman"/>
        </w:rPr>
      </w:pPr>
      <w:r>
        <w:rPr>
          <w:rFonts w:hint="eastAsia" w:ascii="Times New Roman"/>
        </w:rPr>
        <w:t>纠偏</w:t>
      </w:r>
    </w:p>
    <w:p>
      <w:pPr>
        <w:widowControl/>
        <w:spacing w:before="156" w:beforeLines="50" w:after="156" w:afterLines="50" w:line="360" w:lineRule="auto"/>
        <w:ind w:firstLine="420" w:firstLineChars="200"/>
        <w:jc w:val="left"/>
        <w:outlineLvl w:val="3"/>
        <w:rPr>
          <w:kern w:val="0"/>
          <w:szCs w:val="21"/>
        </w:rPr>
      </w:pPr>
      <w:r>
        <w:rPr>
          <w:rFonts w:hint="eastAsia"/>
          <w:kern w:val="0"/>
          <w:szCs w:val="21"/>
        </w:rPr>
        <w:t>当生乳中铅含量超过预警值0.02 m</w:t>
      </w:r>
      <w:r>
        <w:rPr>
          <w:kern w:val="0"/>
          <w:szCs w:val="21"/>
        </w:rPr>
        <w:t>g</w:t>
      </w:r>
      <w:r>
        <w:rPr>
          <w:rFonts w:hint="eastAsia"/>
          <w:kern w:val="0"/>
          <w:szCs w:val="21"/>
        </w:rPr>
        <w:t>/</w:t>
      </w:r>
      <w:r>
        <w:rPr>
          <w:kern w:val="0"/>
          <w:szCs w:val="21"/>
        </w:rPr>
        <w:t>kg</w:t>
      </w:r>
      <w:r>
        <w:rPr>
          <w:rFonts w:hint="eastAsia"/>
          <w:kern w:val="0"/>
          <w:szCs w:val="21"/>
        </w:rPr>
        <w:t>时，应按第</w:t>
      </w:r>
      <w:r>
        <w:rPr>
          <w:kern w:val="0"/>
          <w:szCs w:val="21"/>
        </w:rPr>
        <w:t>4</w:t>
      </w:r>
      <w:r>
        <w:rPr>
          <w:rFonts w:hint="eastAsia"/>
          <w:kern w:val="0"/>
          <w:szCs w:val="21"/>
        </w:rPr>
        <w:t>章</w:t>
      </w:r>
      <w:r>
        <w:rPr>
          <w:kern w:val="0"/>
          <w:szCs w:val="21"/>
        </w:rPr>
        <w:t>~第</w:t>
      </w:r>
      <w:r>
        <w:rPr>
          <w:rFonts w:hint="eastAsia"/>
          <w:kern w:val="0"/>
          <w:szCs w:val="21"/>
        </w:rPr>
        <w:t>6章要求逐项检查，并纠正。</w:t>
      </w:r>
    </w:p>
    <w:p>
      <w:pPr>
        <w:pStyle w:val="41"/>
      </w:pPr>
      <w:r>
        <w:rPr>
          <w:rFonts w:hint="eastAsia"/>
        </w:rPr>
        <w:t>核实</w:t>
      </w:r>
    </w:p>
    <w:p>
      <w:pPr>
        <w:widowControl/>
        <w:spacing w:before="156" w:beforeLines="50" w:after="156" w:afterLines="50" w:line="360" w:lineRule="auto"/>
        <w:ind w:firstLine="420" w:firstLineChars="200"/>
        <w:jc w:val="left"/>
        <w:outlineLvl w:val="3"/>
        <w:rPr>
          <w:kern w:val="0"/>
          <w:szCs w:val="21"/>
        </w:rPr>
      </w:pPr>
      <w:r>
        <w:rPr>
          <w:kern w:val="0"/>
          <w:szCs w:val="21"/>
        </w:rPr>
        <w:t>当生乳中铅含量超过</w:t>
      </w:r>
      <w:r>
        <w:rPr>
          <w:rFonts w:hint="eastAsia"/>
          <w:kern w:val="0"/>
          <w:szCs w:val="21"/>
        </w:rPr>
        <w:t>预警值0.02 m</w:t>
      </w:r>
      <w:r>
        <w:rPr>
          <w:kern w:val="0"/>
          <w:szCs w:val="21"/>
        </w:rPr>
        <w:t>g</w:t>
      </w:r>
      <w:r>
        <w:rPr>
          <w:rFonts w:hint="eastAsia"/>
          <w:kern w:val="0"/>
          <w:szCs w:val="21"/>
        </w:rPr>
        <w:t>/</w:t>
      </w:r>
      <w:r>
        <w:rPr>
          <w:kern w:val="0"/>
          <w:szCs w:val="21"/>
        </w:rPr>
        <w:t>kg</w:t>
      </w:r>
      <w:r>
        <w:rPr>
          <w:rFonts w:hint="eastAsia"/>
          <w:kern w:val="0"/>
          <w:szCs w:val="21"/>
        </w:rPr>
        <w:t>时，重复</w:t>
      </w:r>
      <w:r>
        <w:rPr>
          <w:kern w:val="0"/>
          <w:szCs w:val="21"/>
        </w:rPr>
        <w:t>7</w:t>
      </w:r>
      <w:r>
        <w:rPr>
          <w:rFonts w:hint="eastAsia"/>
          <w:kern w:val="0"/>
          <w:szCs w:val="21"/>
        </w:rPr>
        <w:t>.2纠偏，直至连续3 d生乳中铅含量不超过0.02 m</w:t>
      </w:r>
      <w:r>
        <w:rPr>
          <w:kern w:val="0"/>
          <w:szCs w:val="21"/>
        </w:rPr>
        <w:t>g</w:t>
      </w:r>
      <w:r>
        <w:rPr>
          <w:rFonts w:hint="eastAsia"/>
          <w:kern w:val="0"/>
          <w:szCs w:val="21"/>
        </w:rPr>
        <w:t>/</w:t>
      </w:r>
      <w:r>
        <w:rPr>
          <w:kern w:val="0"/>
          <w:szCs w:val="21"/>
        </w:rPr>
        <w:t>kg</w:t>
      </w:r>
      <w:r>
        <w:rPr>
          <w:rFonts w:hint="eastAsia"/>
          <w:kern w:val="0"/>
          <w:szCs w:val="21"/>
        </w:rPr>
        <w:t>为止。</w:t>
      </w:r>
    </w:p>
    <w:p>
      <w:pPr>
        <w:pStyle w:val="44"/>
        <w:jc w:val="left"/>
        <w:rPr>
          <w:rFonts w:ascii="Times New Roman"/>
        </w:rPr>
      </w:pPr>
      <w:r>
        <w:rPr>
          <w:rFonts w:hint="eastAsia" w:ascii="Times New Roman"/>
        </w:rPr>
        <w:t>记录</w:t>
      </w:r>
    </w:p>
    <w:p>
      <w:pPr>
        <w:pStyle w:val="41"/>
        <w:rPr>
          <w:rFonts w:ascii="Times New Roman"/>
        </w:rPr>
      </w:pPr>
      <w:r>
        <w:rPr>
          <w:rFonts w:hint="eastAsia" w:ascii="Times New Roman" w:eastAsiaTheme="minorEastAsia"/>
        </w:rPr>
        <w:t>应保存反映生乳中铅状况的所有文件和记录。</w:t>
      </w:r>
    </w:p>
    <w:p>
      <w:pPr>
        <w:pStyle w:val="41"/>
        <w:rPr>
          <w:rFonts w:asciiTheme="minorEastAsia" w:hAnsiTheme="minorEastAsia" w:eastAsiaTheme="minorEastAsia"/>
        </w:rPr>
      </w:pPr>
      <w:r>
        <w:rPr>
          <w:rFonts w:hint="eastAsia" w:asciiTheme="minorEastAsia" w:hAnsiTheme="minorEastAsia" w:eastAsiaTheme="minorEastAsia"/>
        </w:rPr>
        <w:t>记录包括但不限于以下方面：</w:t>
      </w:r>
    </w:p>
    <w:p>
      <w:pPr>
        <w:widowControl/>
        <w:spacing w:before="156" w:beforeLines="50" w:after="156" w:afterLines="50" w:line="360" w:lineRule="auto"/>
        <w:ind w:firstLine="420" w:firstLineChars="200"/>
        <w:jc w:val="left"/>
        <w:outlineLvl w:val="3"/>
        <w:rPr>
          <w:rFonts w:asciiTheme="minorEastAsia" w:hAnsiTheme="minorEastAsia" w:eastAsiaTheme="minorEastAsia"/>
          <w:kern w:val="0"/>
          <w:szCs w:val="21"/>
        </w:rPr>
      </w:pPr>
      <w:r>
        <w:rPr>
          <w:rFonts w:asciiTheme="minorEastAsia" w:hAnsiTheme="minorEastAsia" w:eastAsiaTheme="minorEastAsia"/>
          <w:kern w:val="0"/>
          <w:szCs w:val="21"/>
        </w:rPr>
        <w:t>a</w:t>
      </w:r>
      <w:r>
        <w:rPr>
          <w:rFonts w:hint="eastAsia" w:asciiTheme="minorEastAsia" w:hAnsiTheme="minorEastAsia" w:eastAsiaTheme="minorEastAsia"/>
          <w:kern w:val="0"/>
          <w:szCs w:val="21"/>
        </w:rPr>
        <w:t>) 生乳中铅监测记录；</w:t>
      </w:r>
    </w:p>
    <w:p>
      <w:pPr>
        <w:widowControl/>
        <w:spacing w:before="156" w:beforeLines="50" w:after="156" w:afterLines="50" w:line="360" w:lineRule="auto"/>
        <w:ind w:firstLine="420" w:firstLineChars="200"/>
        <w:jc w:val="left"/>
        <w:outlineLvl w:val="3"/>
        <w:rPr>
          <w:rFonts w:asciiTheme="minorEastAsia" w:hAnsiTheme="minorEastAsia" w:eastAsiaTheme="minorEastAsia"/>
          <w:kern w:val="0"/>
          <w:szCs w:val="21"/>
        </w:rPr>
      </w:pPr>
      <w:r>
        <w:rPr>
          <w:rFonts w:asciiTheme="minorEastAsia" w:hAnsiTheme="minorEastAsia" w:eastAsiaTheme="minorEastAsia"/>
          <w:kern w:val="0"/>
          <w:szCs w:val="21"/>
        </w:rPr>
        <w:t>b</w:t>
      </w:r>
      <w:r>
        <w:rPr>
          <w:rFonts w:hint="eastAsia" w:asciiTheme="minorEastAsia" w:hAnsiTheme="minorEastAsia" w:eastAsiaTheme="minorEastAsia"/>
          <w:kern w:val="0"/>
          <w:szCs w:val="21"/>
        </w:rPr>
        <w:t xml:space="preserve">) 各项控制措施的监测记录，如饮用水、饲料铅含量记录、清洗消毒记录等； </w:t>
      </w:r>
    </w:p>
    <w:p>
      <w:pPr>
        <w:widowControl/>
        <w:spacing w:before="156" w:beforeLines="50" w:after="156" w:afterLines="50" w:line="360" w:lineRule="auto"/>
        <w:ind w:firstLine="420" w:firstLineChars="200"/>
        <w:jc w:val="left"/>
        <w:outlineLvl w:val="3"/>
        <w:rPr>
          <w:rFonts w:asciiTheme="minorEastAsia" w:hAnsiTheme="minorEastAsia" w:eastAsiaTheme="minorEastAsia"/>
          <w:kern w:val="0"/>
          <w:szCs w:val="21"/>
        </w:rPr>
      </w:pPr>
      <w:r>
        <w:rPr>
          <w:rFonts w:asciiTheme="minorEastAsia" w:hAnsiTheme="minorEastAsia" w:eastAsiaTheme="minorEastAsia"/>
          <w:kern w:val="0"/>
          <w:szCs w:val="21"/>
        </w:rPr>
        <w:t>c</w:t>
      </w:r>
      <w:r>
        <w:rPr>
          <w:rFonts w:hint="eastAsia" w:asciiTheme="minorEastAsia" w:hAnsiTheme="minorEastAsia" w:eastAsiaTheme="minorEastAsia"/>
          <w:kern w:val="0"/>
          <w:szCs w:val="21"/>
        </w:rPr>
        <w:t>)</w:t>
      </w:r>
      <w:r>
        <w:rPr>
          <w:rFonts w:asciiTheme="minorEastAsia" w:hAnsiTheme="minorEastAsia" w:eastAsiaTheme="minorEastAsia"/>
          <w:kern w:val="0"/>
          <w:szCs w:val="21"/>
        </w:rPr>
        <w:t xml:space="preserve"> </w:t>
      </w:r>
      <w:r>
        <w:rPr>
          <w:rFonts w:hint="eastAsia" w:asciiTheme="minorEastAsia" w:hAnsiTheme="minorEastAsia" w:eastAsiaTheme="minorEastAsia"/>
          <w:kern w:val="0"/>
          <w:szCs w:val="21"/>
        </w:rPr>
        <w:t>纠偏和核实记录。</w:t>
      </w:r>
    </w:p>
    <w:p>
      <w:pPr>
        <w:pStyle w:val="41"/>
        <w:spacing w:line="360" w:lineRule="auto"/>
        <w:outlineLvl w:val="3"/>
      </w:pPr>
      <w:r>
        <w:rPr>
          <w:rFonts w:ascii="Times New Roman" w:eastAsiaTheme="minorEastAsia"/>
        </w:rPr>
        <w:t>记录保存2年以上。</w:t>
      </w:r>
    </w:p>
    <w:bookmarkEnd w:id="11"/>
    <w:p>
      <w:pPr>
        <w:pStyle w:val="128"/>
        <w:framePr w:wrap="around"/>
      </w:pPr>
      <w:r>
        <w:t>_________________________</w:t>
      </w:r>
    </w:p>
    <w:sectPr>
      <w:footerReference r:id="rId11" w:type="default"/>
      <w:footerReference r:id="rId12" w:type="even"/>
      <w:pgSz w:w="11906" w:h="16838"/>
      <w:pgMar w:top="567" w:right="1134" w:bottom="1134" w:left="1418" w:header="1418" w:footer="1134" w:gutter="0"/>
      <w:pgNumType w:start="2"/>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firstLineChars="200"/>
      <w:jc w:val="both"/>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3994168"/>
      <w:docPartObj>
        <w:docPartGallery w:val="autotext"/>
      </w:docPartObj>
    </w:sdtPr>
    <w:sdtContent>
      <w:p>
        <w:pPr>
          <w:pStyle w:val="16"/>
          <w:jc w:val="center"/>
        </w:pPr>
        <w:r>
          <w:rPr>
            <w:rFonts w:hint="eastAsia"/>
          </w:rPr>
          <w:t>1</w:t>
        </w:r>
      </w:p>
    </w:sdtContent>
  </w:sdt>
  <w:p>
    <w:pPr>
      <w:pStyle w:val="4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5969951"/>
      <w:docPartObj>
        <w:docPartGallery w:val="autotext"/>
      </w:docPartObj>
    </w:sdtPr>
    <w:sdtContent>
      <w:p>
        <w:pPr>
          <w:pStyle w:val="16"/>
          <w:jc w:val="center"/>
        </w:pPr>
        <w:r>
          <w:rPr>
            <w:rFonts w:hint="eastAsia"/>
          </w:rPr>
          <w:t>3</w:t>
        </w:r>
      </w:p>
    </w:sdtContent>
  </w:sdt>
  <w:p>
    <w:pPr>
      <w:pStyle w:val="42"/>
      <w:tabs>
        <w:tab w:val="right" w:pos="9156"/>
      </w:tabs>
      <w:jc w:val="both"/>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4717580"/>
      <w:docPartObj>
        <w:docPartGallery w:val="autotext"/>
      </w:docPartObj>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ind w:firstLine="360" w:firstLineChars="200"/>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left"/>
    </w:pPr>
    <w:r>
      <w:rPr>
        <w:rFonts w:hint="eastAsia"/>
      </w:rPr>
      <w:t>NY</w:t>
    </w:r>
    <w:r>
      <w:t xml:space="preserve">/T </w:t>
    </w:r>
    <w:r>
      <w:rPr>
        <w:rFonts w:hint="eastAsia"/>
      </w:rPr>
      <w:t>XXXX</w:t>
    </w:r>
    <w:r>
      <w:t>—</w:t>
    </w:r>
    <w:r>
      <w:rPr>
        <w:rFonts w:hint="eastAsia"/>
      </w:rPr>
      <w:t>XXXX</w:t>
    </w:r>
  </w:p>
  <w:p>
    <w:pPr>
      <w:spacing w:after="2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w:rPr>
        <w:rFonts w:hint="eastAsia"/>
      </w:rPr>
      <w:t>NY</w:t>
    </w:r>
    <w:r>
      <w:t xml:space="preserve">/T </w:t>
    </w:r>
    <w:r>
      <w:rPr>
        <w:rFonts w:hint="eastAsia"/>
      </w:rPr>
      <w:t>XXX</w:t>
    </w:r>
    <w:r>
      <w:t>X</w:t>
    </w:r>
    <w:r>
      <w:rPr>
        <w:rFonts w:hint="eastAsia"/>
      </w:rPr>
      <w:t>X</w:t>
    </w:r>
    <w:r>
      <w:t>—</w:t>
    </w:r>
    <w:r>
      <w:rPr>
        <w:rFonts w:hint="eastAsia"/>
      </w:rPr>
      <w:t>XXXX</w:t>
    </w:r>
  </w:p>
  <w:p>
    <w:pPr>
      <w:pStyle w:val="43"/>
      <w:ind w:right="2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2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5"/>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4"/>
      <w:suff w:val="nothing"/>
      <w:lvlText w:val="%1.%2.%3.%4.%5　"/>
      <w:lvlJc w:val="left"/>
      <w:pPr>
        <w:ind w:left="0" w:firstLine="0"/>
      </w:pPr>
      <w:rPr>
        <w:rFonts w:hint="eastAsia" w:ascii="黑体" w:hAnsi="Times New Roman" w:eastAsia="黑体"/>
        <w:b w:val="0"/>
        <w:i w:val="0"/>
        <w:sz w:val="21"/>
      </w:rPr>
    </w:lvl>
    <w:lvl w:ilvl="5" w:tentative="0">
      <w:start w:val="1"/>
      <w:numFmt w:val="decimal"/>
      <w:pStyle w:val="5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6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97"/>
      <w:suff w:val="space"/>
      <w:lvlText w:val="%1"/>
      <w:lvlJc w:val="left"/>
      <w:pPr>
        <w:ind w:left="623" w:hanging="425"/>
      </w:pPr>
      <w:rPr>
        <w:rFonts w:hint="eastAsia"/>
      </w:rPr>
    </w:lvl>
    <w:lvl w:ilvl="1" w:tentative="0">
      <w:start w:val="1"/>
      <w:numFmt w:val="decimal"/>
      <w:pStyle w:val="9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7"/>
      <w:suff w:val="nothing"/>
      <w:lvlText w:val="%1——"/>
      <w:lvlJc w:val="left"/>
      <w:pPr>
        <w:ind w:left="833" w:hanging="408"/>
      </w:pPr>
      <w:rPr>
        <w:rFonts w:hint="eastAsia"/>
      </w:rPr>
    </w:lvl>
    <w:lvl w:ilvl="1" w:tentative="0">
      <w:start w:val="1"/>
      <w:numFmt w:val="bullet"/>
      <w:pStyle w:val="48"/>
      <w:lvlText w:val=""/>
      <w:lvlJc w:val="left"/>
      <w:pPr>
        <w:tabs>
          <w:tab w:val="left" w:pos="760"/>
        </w:tabs>
        <w:ind w:left="1264" w:hanging="413"/>
      </w:pPr>
      <w:rPr>
        <w:rFonts w:hint="default" w:ascii="Symbol" w:hAnsi="Symbol"/>
        <w:color w:val="auto"/>
      </w:rPr>
    </w:lvl>
    <w:lvl w:ilvl="2" w:tentative="0">
      <w:start w:val="1"/>
      <w:numFmt w:val="bullet"/>
      <w:pStyle w:val="5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3"/>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85"/>
      <w:lvlText w:val="%1"/>
      <w:lvlJc w:val="left"/>
      <w:pPr>
        <w:tabs>
          <w:tab w:val="left" w:pos="0"/>
        </w:tabs>
        <w:ind w:left="0" w:hanging="425"/>
      </w:pPr>
      <w:rPr>
        <w:rFonts w:hint="eastAsia"/>
      </w:rPr>
    </w:lvl>
    <w:lvl w:ilvl="1" w:tentative="0">
      <w:start w:val="1"/>
      <w:numFmt w:val="decimal"/>
      <w:pStyle w:val="8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pStyle w:val="87"/>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pStyle w:val="9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5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6E1"/>
    <w:rsid w:val="0000185F"/>
    <w:rsid w:val="000033CD"/>
    <w:rsid w:val="00005083"/>
    <w:rsid w:val="0000586F"/>
    <w:rsid w:val="00005A78"/>
    <w:rsid w:val="000066CC"/>
    <w:rsid w:val="00006895"/>
    <w:rsid w:val="00007C08"/>
    <w:rsid w:val="000114AA"/>
    <w:rsid w:val="00011EC4"/>
    <w:rsid w:val="00013D86"/>
    <w:rsid w:val="00013E02"/>
    <w:rsid w:val="00016086"/>
    <w:rsid w:val="00016275"/>
    <w:rsid w:val="00016BB8"/>
    <w:rsid w:val="00017DA2"/>
    <w:rsid w:val="00021418"/>
    <w:rsid w:val="0002143C"/>
    <w:rsid w:val="00022B29"/>
    <w:rsid w:val="0002320E"/>
    <w:rsid w:val="00023E76"/>
    <w:rsid w:val="0002445F"/>
    <w:rsid w:val="00025A65"/>
    <w:rsid w:val="00026C31"/>
    <w:rsid w:val="00027280"/>
    <w:rsid w:val="0002760A"/>
    <w:rsid w:val="000301AB"/>
    <w:rsid w:val="000320A7"/>
    <w:rsid w:val="000327FF"/>
    <w:rsid w:val="0003460B"/>
    <w:rsid w:val="00034CF1"/>
    <w:rsid w:val="00035925"/>
    <w:rsid w:val="00035F78"/>
    <w:rsid w:val="00037872"/>
    <w:rsid w:val="000429A8"/>
    <w:rsid w:val="00043293"/>
    <w:rsid w:val="00045216"/>
    <w:rsid w:val="000452C5"/>
    <w:rsid w:val="000455EA"/>
    <w:rsid w:val="00053897"/>
    <w:rsid w:val="00056009"/>
    <w:rsid w:val="00056176"/>
    <w:rsid w:val="0005753E"/>
    <w:rsid w:val="00057D4B"/>
    <w:rsid w:val="000620F8"/>
    <w:rsid w:val="00064ED1"/>
    <w:rsid w:val="0006727C"/>
    <w:rsid w:val="00067CDF"/>
    <w:rsid w:val="00071617"/>
    <w:rsid w:val="000732A9"/>
    <w:rsid w:val="000733F4"/>
    <w:rsid w:val="000749D9"/>
    <w:rsid w:val="00074FBE"/>
    <w:rsid w:val="00075732"/>
    <w:rsid w:val="00075C9E"/>
    <w:rsid w:val="0007630D"/>
    <w:rsid w:val="00080AED"/>
    <w:rsid w:val="00083A09"/>
    <w:rsid w:val="0008615D"/>
    <w:rsid w:val="0009005E"/>
    <w:rsid w:val="00092857"/>
    <w:rsid w:val="000938E3"/>
    <w:rsid w:val="000A0205"/>
    <w:rsid w:val="000A1852"/>
    <w:rsid w:val="000A20A9"/>
    <w:rsid w:val="000A291A"/>
    <w:rsid w:val="000A2973"/>
    <w:rsid w:val="000A48B1"/>
    <w:rsid w:val="000B0332"/>
    <w:rsid w:val="000B18BC"/>
    <w:rsid w:val="000B244D"/>
    <w:rsid w:val="000B3143"/>
    <w:rsid w:val="000B42E6"/>
    <w:rsid w:val="000C1361"/>
    <w:rsid w:val="000C2EFE"/>
    <w:rsid w:val="000C5514"/>
    <w:rsid w:val="000C6B05"/>
    <w:rsid w:val="000C6DD6"/>
    <w:rsid w:val="000C73D4"/>
    <w:rsid w:val="000D0762"/>
    <w:rsid w:val="000D0764"/>
    <w:rsid w:val="000D2CF3"/>
    <w:rsid w:val="000D3D4C"/>
    <w:rsid w:val="000D48B4"/>
    <w:rsid w:val="000D4F51"/>
    <w:rsid w:val="000D5A0F"/>
    <w:rsid w:val="000D718B"/>
    <w:rsid w:val="000D743B"/>
    <w:rsid w:val="000E0C46"/>
    <w:rsid w:val="000E1245"/>
    <w:rsid w:val="000E1FCE"/>
    <w:rsid w:val="000E4B32"/>
    <w:rsid w:val="000F030C"/>
    <w:rsid w:val="000F0EC8"/>
    <w:rsid w:val="000F129C"/>
    <w:rsid w:val="000F2C49"/>
    <w:rsid w:val="000F3E5D"/>
    <w:rsid w:val="000F4790"/>
    <w:rsid w:val="000F6B1E"/>
    <w:rsid w:val="000F7CC7"/>
    <w:rsid w:val="00101675"/>
    <w:rsid w:val="001056DE"/>
    <w:rsid w:val="00105CC7"/>
    <w:rsid w:val="001121D1"/>
    <w:rsid w:val="001124C0"/>
    <w:rsid w:val="001133E8"/>
    <w:rsid w:val="0011596E"/>
    <w:rsid w:val="00115C0D"/>
    <w:rsid w:val="00115D27"/>
    <w:rsid w:val="0012082C"/>
    <w:rsid w:val="0013175F"/>
    <w:rsid w:val="00131F08"/>
    <w:rsid w:val="00132E2E"/>
    <w:rsid w:val="00133ADA"/>
    <w:rsid w:val="0013576E"/>
    <w:rsid w:val="001357D1"/>
    <w:rsid w:val="00135B51"/>
    <w:rsid w:val="0013611A"/>
    <w:rsid w:val="0013771B"/>
    <w:rsid w:val="00142361"/>
    <w:rsid w:val="00143966"/>
    <w:rsid w:val="00143DF1"/>
    <w:rsid w:val="0014504A"/>
    <w:rsid w:val="00147AD1"/>
    <w:rsid w:val="00150A95"/>
    <w:rsid w:val="00151067"/>
    <w:rsid w:val="001512B4"/>
    <w:rsid w:val="001518F8"/>
    <w:rsid w:val="00153F55"/>
    <w:rsid w:val="0015677B"/>
    <w:rsid w:val="0016012A"/>
    <w:rsid w:val="00161AF0"/>
    <w:rsid w:val="001620A5"/>
    <w:rsid w:val="00164E53"/>
    <w:rsid w:val="00164E9B"/>
    <w:rsid w:val="00165A00"/>
    <w:rsid w:val="0016699D"/>
    <w:rsid w:val="001743C2"/>
    <w:rsid w:val="00174504"/>
    <w:rsid w:val="00175159"/>
    <w:rsid w:val="00176208"/>
    <w:rsid w:val="00180A5D"/>
    <w:rsid w:val="0018211B"/>
    <w:rsid w:val="001840D3"/>
    <w:rsid w:val="00186882"/>
    <w:rsid w:val="001900F8"/>
    <w:rsid w:val="00191258"/>
    <w:rsid w:val="00191B98"/>
    <w:rsid w:val="00191ED4"/>
    <w:rsid w:val="00192680"/>
    <w:rsid w:val="00193037"/>
    <w:rsid w:val="00193A2C"/>
    <w:rsid w:val="00193BD2"/>
    <w:rsid w:val="00195884"/>
    <w:rsid w:val="00197B2C"/>
    <w:rsid w:val="001A185A"/>
    <w:rsid w:val="001A25C1"/>
    <w:rsid w:val="001A288E"/>
    <w:rsid w:val="001A468F"/>
    <w:rsid w:val="001A4E0C"/>
    <w:rsid w:val="001A5BA0"/>
    <w:rsid w:val="001B128B"/>
    <w:rsid w:val="001B1981"/>
    <w:rsid w:val="001B31FA"/>
    <w:rsid w:val="001B3CA4"/>
    <w:rsid w:val="001B5C6E"/>
    <w:rsid w:val="001B6DC2"/>
    <w:rsid w:val="001C149C"/>
    <w:rsid w:val="001C21AC"/>
    <w:rsid w:val="001C3166"/>
    <w:rsid w:val="001C3AB2"/>
    <w:rsid w:val="001C47BA"/>
    <w:rsid w:val="001C59EA"/>
    <w:rsid w:val="001C6058"/>
    <w:rsid w:val="001C6BE3"/>
    <w:rsid w:val="001D00F0"/>
    <w:rsid w:val="001D386D"/>
    <w:rsid w:val="001D3D1A"/>
    <w:rsid w:val="001D406C"/>
    <w:rsid w:val="001D41EE"/>
    <w:rsid w:val="001D6EE2"/>
    <w:rsid w:val="001E0380"/>
    <w:rsid w:val="001E13B1"/>
    <w:rsid w:val="001E266D"/>
    <w:rsid w:val="001E32EA"/>
    <w:rsid w:val="001E5524"/>
    <w:rsid w:val="001E71CD"/>
    <w:rsid w:val="001F3641"/>
    <w:rsid w:val="001F3A19"/>
    <w:rsid w:val="001F4345"/>
    <w:rsid w:val="001F53B0"/>
    <w:rsid w:val="001F7B64"/>
    <w:rsid w:val="00205583"/>
    <w:rsid w:val="0021373A"/>
    <w:rsid w:val="0021768D"/>
    <w:rsid w:val="002232A4"/>
    <w:rsid w:val="002268FE"/>
    <w:rsid w:val="0023187E"/>
    <w:rsid w:val="0023391C"/>
    <w:rsid w:val="00234467"/>
    <w:rsid w:val="00235007"/>
    <w:rsid w:val="00236172"/>
    <w:rsid w:val="00236ACD"/>
    <w:rsid w:val="00237D8D"/>
    <w:rsid w:val="00241DA2"/>
    <w:rsid w:val="00243717"/>
    <w:rsid w:val="00243B86"/>
    <w:rsid w:val="00244BC6"/>
    <w:rsid w:val="00244E53"/>
    <w:rsid w:val="00247FEE"/>
    <w:rsid w:val="00250E7D"/>
    <w:rsid w:val="00253190"/>
    <w:rsid w:val="002565D5"/>
    <w:rsid w:val="002579E8"/>
    <w:rsid w:val="00257F32"/>
    <w:rsid w:val="002622C0"/>
    <w:rsid w:val="00264C54"/>
    <w:rsid w:val="00265BFC"/>
    <w:rsid w:val="00266D1F"/>
    <w:rsid w:val="00270755"/>
    <w:rsid w:val="002722D9"/>
    <w:rsid w:val="00272832"/>
    <w:rsid w:val="002735FB"/>
    <w:rsid w:val="00274DBC"/>
    <w:rsid w:val="002778AE"/>
    <w:rsid w:val="0028269A"/>
    <w:rsid w:val="00282EE8"/>
    <w:rsid w:val="00283590"/>
    <w:rsid w:val="0028484A"/>
    <w:rsid w:val="00286973"/>
    <w:rsid w:val="002916F1"/>
    <w:rsid w:val="00294A48"/>
    <w:rsid w:val="00294B79"/>
    <w:rsid w:val="00294E70"/>
    <w:rsid w:val="00295032"/>
    <w:rsid w:val="002962D6"/>
    <w:rsid w:val="00296A71"/>
    <w:rsid w:val="002A09AF"/>
    <w:rsid w:val="002A1588"/>
    <w:rsid w:val="002A1924"/>
    <w:rsid w:val="002A2A91"/>
    <w:rsid w:val="002A35E9"/>
    <w:rsid w:val="002A53F1"/>
    <w:rsid w:val="002A67DD"/>
    <w:rsid w:val="002A6E8E"/>
    <w:rsid w:val="002A7420"/>
    <w:rsid w:val="002B0F12"/>
    <w:rsid w:val="002B1308"/>
    <w:rsid w:val="002B34E8"/>
    <w:rsid w:val="002B446B"/>
    <w:rsid w:val="002B4554"/>
    <w:rsid w:val="002B58E9"/>
    <w:rsid w:val="002B5955"/>
    <w:rsid w:val="002B6DC3"/>
    <w:rsid w:val="002C1EC6"/>
    <w:rsid w:val="002C2E0C"/>
    <w:rsid w:val="002C4195"/>
    <w:rsid w:val="002C43CC"/>
    <w:rsid w:val="002C4833"/>
    <w:rsid w:val="002C4F85"/>
    <w:rsid w:val="002C60B2"/>
    <w:rsid w:val="002C72D8"/>
    <w:rsid w:val="002D1068"/>
    <w:rsid w:val="002D11FA"/>
    <w:rsid w:val="002D3749"/>
    <w:rsid w:val="002D44C1"/>
    <w:rsid w:val="002D55C3"/>
    <w:rsid w:val="002D69B9"/>
    <w:rsid w:val="002E0BFA"/>
    <w:rsid w:val="002E0DDF"/>
    <w:rsid w:val="002E2906"/>
    <w:rsid w:val="002E363B"/>
    <w:rsid w:val="002E51CD"/>
    <w:rsid w:val="002E5495"/>
    <w:rsid w:val="002E5635"/>
    <w:rsid w:val="002E5D24"/>
    <w:rsid w:val="002E64C3"/>
    <w:rsid w:val="002E6A2C"/>
    <w:rsid w:val="002F1D8C"/>
    <w:rsid w:val="002F1EEF"/>
    <w:rsid w:val="002F21DA"/>
    <w:rsid w:val="002F3F68"/>
    <w:rsid w:val="003002AC"/>
    <w:rsid w:val="00300FAD"/>
    <w:rsid w:val="00301951"/>
    <w:rsid w:val="00301F39"/>
    <w:rsid w:val="00302B0A"/>
    <w:rsid w:val="00303199"/>
    <w:rsid w:val="00303446"/>
    <w:rsid w:val="0030429A"/>
    <w:rsid w:val="003047CC"/>
    <w:rsid w:val="003057C2"/>
    <w:rsid w:val="00306A50"/>
    <w:rsid w:val="00307877"/>
    <w:rsid w:val="00307AB9"/>
    <w:rsid w:val="00310A36"/>
    <w:rsid w:val="00311BD5"/>
    <w:rsid w:val="00312FE1"/>
    <w:rsid w:val="0031524D"/>
    <w:rsid w:val="00315BBB"/>
    <w:rsid w:val="00317AFF"/>
    <w:rsid w:val="00317C56"/>
    <w:rsid w:val="00321931"/>
    <w:rsid w:val="00322039"/>
    <w:rsid w:val="0032279C"/>
    <w:rsid w:val="00325926"/>
    <w:rsid w:val="003259AE"/>
    <w:rsid w:val="00325D23"/>
    <w:rsid w:val="00327A8A"/>
    <w:rsid w:val="0033085C"/>
    <w:rsid w:val="00331F8A"/>
    <w:rsid w:val="003338EF"/>
    <w:rsid w:val="00336610"/>
    <w:rsid w:val="00336A4B"/>
    <w:rsid w:val="00336D4A"/>
    <w:rsid w:val="003415F4"/>
    <w:rsid w:val="00343F73"/>
    <w:rsid w:val="00345060"/>
    <w:rsid w:val="00350421"/>
    <w:rsid w:val="003516C0"/>
    <w:rsid w:val="0035323B"/>
    <w:rsid w:val="0035486C"/>
    <w:rsid w:val="00360582"/>
    <w:rsid w:val="003609D2"/>
    <w:rsid w:val="00363F22"/>
    <w:rsid w:val="00364655"/>
    <w:rsid w:val="00365BCA"/>
    <w:rsid w:val="003679E9"/>
    <w:rsid w:val="00367CF2"/>
    <w:rsid w:val="00372D3D"/>
    <w:rsid w:val="00373CCC"/>
    <w:rsid w:val="00375564"/>
    <w:rsid w:val="0038015B"/>
    <w:rsid w:val="00380564"/>
    <w:rsid w:val="0038259D"/>
    <w:rsid w:val="00383191"/>
    <w:rsid w:val="00384AF3"/>
    <w:rsid w:val="00385C12"/>
    <w:rsid w:val="00386DED"/>
    <w:rsid w:val="003912E7"/>
    <w:rsid w:val="00393947"/>
    <w:rsid w:val="003954FA"/>
    <w:rsid w:val="00395A3E"/>
    <w:rsid w:val="003A2275"/>
    <w:rsid w:val="003A2642"/>
    <w:rsid w:val="003A3271"/>
    <w:rsid w:val="003A6A4F"/>
    <w:rsid w:val="003A7088"/>
    <w:rsid w:val="003A7E9E"/>
    <w:rsid w:val="003B00DF"/>
    <w:rsid w:val="003B1275"/>
    <w:rsid w:val="003B1778"/>
    <w:rsid w:val="003B1E50"/>
    <w:rsid w:val="003B3FCF"/>
    <w:rsid w:val="003C11CB"/>
    <w:rsid w:val="003C210E"/>
    <w:rsid w:val="003C39B1"/>
    <w:rsid w:val="003C4535"/>
    <w:rsid w:val="003C602E"/>
    <w:rsid w:val="003C75F3"/>
    <w:rsid w:val="003C78A3"/>
    <w:rsid w:val="003D1953"/>
    <w:rsid w:val="003D37B7"/>
    <w:rsid w:val="003D44B3"/>
    <w:rsid w:val="003D496B"/>
    <w:rsid w:val="003D5A2C"/>
    <w:rsid w:val="003D7852"/>
    <w:rsid w:val="003E0212"/>
    <w:rsid w:val="003E1867"/>
    <w:rsid w:val="003E5729"/>
    <w:rsid w:val="003E5C59"/>
    <w:rsid w:val="003E7C6D"/>
    <w:rsid w:val="003F107D"/>
    <w:rsid w:val="003F4EE0"/>
    <w:rsid w:val="003F557A"/>
    <w:rsid w:val="00402153"/>
    <w:rsid w:val="00402FC1"/>
    <w:rsid w:val="004042D5"/>
    <w:rsid w:val="00405EE4"/>
    <w:rsid w:val="00406662"/>
    <w:rsid w:val="004072F5"/>
    <w:rsid w:val="00410D92"/>
    <w:rsid w:val="004116D8"/>
    <w:rsid w:val="00411E10"/>
    <w:rsid w:val="00412073"/>
    <w:rsid w:val="0041498C"/>
    <w:rsid w:val="00414EB4"/>
    <w:rsid w:val="004205F8"/>
    <w:rsid w:val="0042154E"/>
    <w:rsid w:val="0042358F"/>
    <w:rsid w:val="00425082"/>
    <w:rsid w:val="00431DEB"/>
    <w:rsid w:val="00433809"/>
    <w:rsid w:val="00437847"/>
    <w:rsid w:val="004413D7"/>
    <w:rsid w:val="00441706"/>
    <w:rsid w:val="00444109"/>
    <w:rsid w:val="0044476C"/>
    <w:rsid w:val="00445765"/>
    <w:rsid w:val="00446337"/>
    <w:rsid w:val="00446B29"/>
    <w:rsid w:val="00447DE9"/>
    <w:rsid w:val="004506E5"/>
    <w:rsid w:val="00453F9A"/>
    <w:rsid w:val="00454EAA"/>
    <w:rsid w:val="00455B30"/>
    <w:rsid w:val="004638D4"/>
    <w:rsid w:val="00463E30"/>
    <w:rsid w:val="004646FA"/>
    <w:rsid w:val="004657E4"/>
    <w:rsid w:val="00465C13"/>
    <w:rsid w:val="00470AA4"/>
    <w:rsid w:val="00471E91"/>
    <w:rsid w:val="004721F9"/>
    <w:rsid w:val="0047324C"/>
    <w:rsid w:val="00473D7B"/>
    <w:rsid w:val="004743B7"/>
    <w:rsid w:val="00474675"/>
    <w:rsid w:val="0047470C"/>
    <w:rsid w:val="0047509A"/>
    <w:rsid w:val="00477B52"/>
    <w:rsid w:val="00484E51"/>
    <w:rsid w:val="004871FB"/>
    <w:rsid w:val="00491BCD"/>
    <w:rsid w:val="00495C54"/>
    <w:rsid w:val="0049781C"/>
    <w:rsid w:val="00497BB0"/>
    <w:rsid w:val="004A1F12"/>
    <w:rsid w:val="004A25F8"/>
    <w:rsid w:val="004A35F9"/>
    <w:rsid w:val="004A5E86"/>
    <w:rsid w:val="004A7F1E"/>
    <w:rsid w:val="004B14B1"/>
    <w:rsid w:val="004B1BEB"/>
    <w:rsid w:val="004B24C1"/>
    <w:rsid w:val="004B2B71"/>
    <w:rsid w:val="004B3D88"/>
    <w:rsid w:val="004B670A"/>
    <w:rsid w:val="004C0DFA"/>
    <w:rsid w:val="004C12B6"/>
    <w:rsid w:val="004C15E9"/>
    <w:rsid w:val="004C292F"/>
    <w:rsid w:val="004C7ABE"/>
    <w:rsid w:val="004D2E8A"/>
    <w:rsid w:val="004D33B9"/>
    <w:rsid w:val="004D4FA8"/>
    <w:rsid w:val="004D5744"/>
    <w:rsid w:val="004D7F4F"/>
    <w:rsid w:val="004E17A8"/>
    <w:rsid w:val="004E48ED"/>
    <w:rsid w:val="004F0436"/>
    <w:rsid w:val="004F5FDB"/>
    <w:rsid w:val="004F6442"/>
    <w:rsid w:val="004F7155"/>
    <w:rsid w:val="005001C2"/>
    <w:rsid w:val="00505CAF"/>
    <w:rsid w:val="00507CC5"/>
    <w:rsid w:val="00510280"/>
    <w:rsid w:val="00511D8B"/>
    <w:rsid w:val="00513B56"/>
    <w:rsid w:val="00513D6C"/>
    <w:rsid w:val="00513D73"/>
    <w:rsid w:val="00514A43"/>
    <w:rsid w:val="00514F10"/>
    <w:rsid w:val="005174E5"/>
    <w:rsid w:val="00520E82"/>
    <w:rsid w:val="00522393"/>
    <w:rsid w:val="00522620"/>
    <w:rsid w:val="0052292E"/>
    <w:rsid w:val="00523BEE"/>
    <w:rsid w:val="00525656"/>
    <w:rsid w:val="0052724F"/>
    <w:rsid w:val="00530A6F"/>
    <w:rsid w:val="00533D17"/>
    <w:rsid w:val="00533E64"/>
    <w:rsid w:val="00534C02"/>
    <w:rsid w:val="00536B82"/>
    <w:rsid w:val="0054264B"/>
    <w:rsid w:val="00543786"/>
    <w:rsid w:val="005447D3"/>
    <w:rsid w:val="005453EF"/>
    <w:rsid w:val="00545CEE"/>
    <w:rsid w:val="00545D27"/>
    <w:rsid w:val="00546090"/>
    <w:rsid w:val="005469BA"/>
    <w:rsid w:val="005533D7"/>
    <w:rsid w:val="005645CB"/>
    <w:rsid w:val="005703DE"/>
    <w:rsid w:val="0057513F"/>
    <w:rsid w:val="00581A72"/>
    <w:rsid w:val="00581BF9"/>
    <w:rsid w:val="00582DF2"/>
    <w:rsid w:val="00583BE3"/>
    <w:rsid w:val="00583DF6"/>
    <w:rsid w:val="00584429"/>
    <w:rsid w:val="0058464E"/>
    <w:rsid w:val="00585DE6"/>
    <w:rsid w:val="00585EA5"/>
    <w:rsid w:val="00587E4F"/>
    <w:rsid w:val="00590262"/>
    <w:rsid w:val="005903A0"/>
    <w:rsid w:val="00592408"/>
    <w:rsid w:val="005926B0"/>
    <w:rsid w:val="0059282C"/>
    <w:rsid w:val="00593B48"/>
    <w:rsid w:val="00596EE6"/>
    <w:rsid w:val="005A01CB"/>
    <w:rsid w:val="005A0E1D"/>
    <w:rsid w:val="005A47A0"/>
    <w:rsid w:val="005A58FF"/>
    <w:rsid w:val="005A5EAF"/>
    <w:rsid w:val="005A64C0"/>
    <w:rsid w:val="005B03E4"/>
    <w:rsid w:val="005B0C4E"/>
    <w:rsid w:val="005B3C11"/>
    <w:rsid w:val="005B4018"/>
    <w:rsid w:val="005B611D"/>
    <w:rsid w:val="005B6159"/>
    <w:rsid w:val="005B6369"/>
    <w:rsid w:val="005B666E"/>
    <w:rsid w:val="005C1C28"/>
    <w:rsid w:val="005C26D1"/>
    <w:rsid w:val="005C4153"/>
    <w:rsid w:val="005C4690"/>
    <w:rsid w:val="005C5191"/>
    <w:rsid w:val="005C6DB5"/>
    <w:rsid w:val="005C7A6B"/>
    <w:rsid w:val="005D0189"/>
    <w:rsid w:val="005D0752"/>
    <w:rsid w:val="005D169E"/>
    <w:rsid w:val="005D1CAD"/>
    <w:rsid w:val="005D2319"/>
    <w:rsid w:val="005D28AC"/>
    <w:rsid w:val="005E0014"/>
    <w:rsid w:val="005E01BA"/>
    <w:rsid w:val="005E055C"/>
    <w:rsid w:val="005E0A58"/>
    <w:rsid w:val="005E19E7"/>
    <w:rsid w:val="005E4260"/>
    <w:rsid w:val="005E4CED"/>
    <w:rsid w:val="005E5016"/>
    <w:rsid w:val="005E57D9"/>
    <w:rsid w:val="005E5F64"/>
    <w:rsid w:val="005E6522"/>
    <w:rsid w:val="005E715D"/>
    <w:rsid w:val="005F0D35"/>
    <w:rsid w:val="005F16B8"/>
    <w:rsid w:val="005F1979"/>
    <w:rsid w:val="005F1C36"/>
    <w:rsid w:val="005F3C1C"/>
    <w:rsid w:val="005F653F"/>
    <w:rsid w:val="00600F07"/>
    <w:rsid w:val="00601373"/>
    <w:rsid w:val="00606704"/>
    <w:rsid w:val="0061400A"/>
    <w:rsid w:val="00614126"/>
    <w:rsid w:val="00614A37"/>
    <w:rsid w:val="006165F5"/>
    <w:rsid w:val="0061716C"/>
    <w:rsid w:val="0061745F"/>
    <w:rsid w:val="0061776E"/>
    <w:rsid w:val="00617813"/>
    <w:rsid w:val="00621A02"/>
    <w:rsid w:val="00623389"/>
    <w:rsid w:val="006236F0"/>
    <w:rsid w:val="006243A1"/>
    <w:rsid w:val="006244AD"/>
    <w:rsid w:val="006257D4"/>
    <w:rsid w:val="0062604B"/>
    <w:rsid w:val="00626244"/>
    <w:rsid w:val="00627B21"/>
    <w:rsid w:val="00630EEB"/>
    <w:rsid w:val="00632E56"/>
    <w:rsid w:val="00634061"/>
    <w:rsid w:val="00634FFD"/>
    <w:rsid w:val="00635CBA"/>
    <w:rsid w:val="00637056"/>
    <w:rsid w:val="00637777"/>
    <w:rsid w:val="006430F0"/>
    <w:rsid w:val="0064338B"/>
    <w:rsid w:val="00644371"/>
    <w:rsid w:val="00645F7C"/>
    <w:rsid w:val="00646542"/>
    <w:rsid w:val="00650123"/>
    <w:rsid w:val="006504F4"/>
    <w:rsid w:val="006506ED"/>
    <w:rsid w:val="00654BC9"/>
    <w:rsid w:val="006552FD"/>
    <w:rsid w:val="00663AF3"/>
    <w:rsid w:val="006649DF"/>
    <w:rsid w:val="00664D5B"/>
    <w:rsid w:val="00665B36"/>
    <w:rsid w:val="00666B6C"/>
    <w:rsid w:val="006709D3"/>
    <w:rsid w:val="00670C83"/>
    <w:rsid w:val="00671AED"/>
    <w:rsid w:val="0067390D"/>
    <w:rsid w:val="00674EF0"/>
    <w:rsid w:val="00676FCC"/>
    <w:rsid w:val="0067719E"/>
    <w:rsid w:val="006772AC"/>
    <w:rsid w:val="00680E1A"/>
    <w:rsid w:val="00682682"/>
    <w:rsid w:val="00682702"/>
    <w:rsid w:val="00682CAE"/>
    <w:rsid w:val="0068334B"/>
    <w:rsid w:val="00683AA9"/>
    <w:rsid w:val="0068457E"/>
    <w:rsid w:val="006863BF"/>
    <w:rsid w:val="00691F35"/>
    <w:rsid w:val="00692368"/>
    <w:rsid w:val="00696D97"/>
    <w:rsid w:val="006A191C"/>
    <w:rsid w:val="006A2CED"/>
    <w:rsid w:val="006A2EBC"/>
    <w:rsid w:val="006A40D0"/>
    <w:rsid w:val="006A5EA0"/>
    <w:rsid w:val="006A60F0"/>
    <w:rsid w:val="006A6E5D"/>
    <w:rsid w:val="006A783B"/>
    <w:rsid w:val="006A7AE7"/>
    <w:rsid w:val="006A7B33"/>
    <w:rsid w:val="006A7DFE"/>
    <w:rsid w:val="006A7FFC"/>
    <w:rsid w:val="006B28D2"/>
    <w:rsid w:val="006B4E13"/>
    <w:rsid w:val="006B75DD"/>
    <w:rsid w:val="006C31DF"/>
    <w:rsid w:val="006C35B2"/>
    <w:rsid w:val="006C4A07"/>
    <w:rsid w:val="006C67E0"/>
    <w:rsid w:val="006C7128"/>
    <w:rsid w:val="006C7ABA"/>
    <w:rsid w:val="006C7E26"/>
    <w:rsid w:val="006D0D60"/>
    <w:rsid w:val="006D1122"/>
    <w:rsid w:val="006D219E"/>
    <w:rsid w:val="006D3C00"/>
    <w:rsid w:val="006D3FBA"/>
    <w:rsid w:val="006D4809"/>
    <w:rsid w:val="006D6CF4"/>
    <w:rsid w:val="006D7252"/>
    <w:rsid w:val="006E0817"/>
    <w:rsid w:val="006E2DE0"/>
    <w:rsid w:val="006E2FBC"/>
    <w:rsid w:val="006E35F4"/>
    <w:rsid w:val="006E3675"/>
    <w:rsid w:val="006E3AA0"/>
    <w:rsid w:val="006E4A7F"/>
    <w:rsid w:val="006E70B0"/>
    <w:rsid w:val="006E7C56"/>
    <w:rsid w:val="006F0FA4"/>
    <w:rsid w:val="006F1438"/>
    <w:rsid w:val="006F2448"/>
    <w:rsid w:val="006F3366"/>
    <w:rsid w:val="006F41C6"/>
    <w:rsid w:val="007004F1"/>
    <w:rsid w:val="00703FA4"/>
    <w:rsid w:val="00704DF6"/>
    <w:rsid w:val="0070651C"/>
    <w:rsid w:val="007116EC"/>
    <w:rsid w:val="007123AB"/>
    <w:rsid w:val="00712B5D"/>
    <w:rsid w:val="007132A3"/>
    <w:rsid w:val="00713862"/>
    <w:rsid w:val="00716421"/>
    <w:rsid w:val="00720C7B"/>
    <w:rsid w:val="00720EFC"/>
    <w:rsid w:val="00722BD3"/>
    <w:rsid w:val="00724EFB"/>
    <w:rsid w:val="00730B59"/>
    <w:rsid w:val="00731F38"/>
    <w:rsid w:val="00736B94"/>
    <w:rsid w:val="00736E04"/>
    <w:rsid w:val="00740F67"/>
    <w:rsid w:val="007419C3"/>
    <w:rsid w:val="00744F22"/>
    <w:rsid w:val="007467A7"/>
    <w:rsid w:val="007469DD"/>
    <w:rsid w:val="0074741B"/>
    <w:rsid w:val="0074759E"/>
    <w:rsid w:val="00747720"/>
    <w:rsid w:val="007478EA"/>
    <w:rsid w:val="007539B0"/>
    <w:rsid w:val="0075415C"/>
    <w:rsid w:val="00754A3C"/>
    <w:rsid w:val="00756834"/>
    <w:rsid w:val="00756EAF"/>
    <w:rsid w:val="00757841"/>
    <w:rsid w:val="00757FE1"/>
    <w:rsid w:val="007611C8"/>
    <w:rsid w:val="00763502"/>
    <w:rsid w:val="007640AB"/>
    <w:rsid w:val="007647B8"/>
    <w:rsid w:val="0076526D"/>
    <w:rsid w:val="007675D1"/>
    <w:rsid w:val="00767D49"/>
    <w:rsid w:val="007700B5"/>
    <w:rsid w:val="007746F3"/>
    <w:rsid w:val="00775E28"/>
    <w:rsid w:val="00775FFC"/>
    <w:rsid w:val="007810AC"/>
    <w:rsid w:val="0078187E"/>
    <w:rsid w:val="00781B9A"/>
    <w:rsid w:val="00782AC0"/>
    <w:rsid w:val="00784EEE"/>
    <w:rsid w:val="00785E0B"/>
    <w:rsid w:val="00786A62"/>
    <w:rsid w:val="00787E84"/>
    <w:rsid w:val="00790DBC"/>
    <w:rsid w:val="007913AB"/>
    <w:rsid w:val="007914F7"/>
    <w:rsid w:val="00793168"/>
    <w:rsid w:val="007933ED"/>
    <w:rsid w:val="00797076"/>
    <w:rsid w:val="00797083"/>
    <w:rsid w:val="007A0FBD"/>
    <w:rsid w:val="007B0A99"/>
    <w:rsid w:val="007B1625"/>
    <w:rsid w:val="007B2304"/>
    <w:rsid w:val="007B35E3"/>
    <w:rsid w:val="007B3FBA"/>
    <w:rsid w:val="007B5371"/>
    <w:rsid w:val="007B706E"/>
    <w:rsid w:val="007B71EB"/>
    <w:rsid w:val="007C0D9D"/>
    <w:rsid w:val="007C2483"/>
    <w:rsid w:val="007C3475"/>
    <w:rsid w:val="007C35DE"/>
    <w:rsid w:val="007C3634"/>
    <w:rsid w:val="007C42F6"/>
    <w:rsid w:val="007C6205"/>
    <w:rsid w:val="007C632C"/>
    <w:rsid w:val="007C686A"/>
    <w:rsid w:val="007C728E"/>
    <w:rsid w:val="007D17E4"/>
    <w:rsid w:val="007D2C53"/>
    <w:rsid w:val="007D3164"/>
    <w:rsid w:val="007D3D60"/>
    <w:rsid w:val="007D454B"/>
    <w:rsid w:val="007D5FA3"/>
    <w:rsid w:val="007E1980"/>
    <w:rsid w:val="007E4672"/>
    <w:rsid w:val="007E4B76"/>
    <w:rsid w:val="007E5EA8"/>
    <w:rsid w:val="007E6392"/>
    <w:rsid w:val="007F0CF1"/>
    <w:rsid w:val="007F12A5"/>
    <w:rsid w:val="007F24FE"/>
    <w:rsid w:val="007F3924"/>
    <w:rsid w:val="007F4CF1"/>
    <w:rsid w:val="007F758D"/>
    <w:rsid w:val="007F762F"/>
    <w:rsid w:val="007F7D52"/>
    <w:rsid w:val="007F7E55"/>
    <w:rsid w:val="00800B79"/>
    <w:rsid w:val="00804FE5"/>
    <w:rsid w:val="008052F5"/>
    <w:rsid w:val="00805F1F"/>
    <w:rsid w:val="008064FA"/>
    <w:rsid w:val="0080654C"/>
    <w:rsid w:val="008071C6"/>
    <w:rsid w:val="00807961"/>
    <w:rsid w:val="00811C73"/>
    <w:rsid w:val="00814F68"/>
    <w:rsid w:val="0081653F"/>
    <w:rsid w:val="008167A0"/>
    <w:rsid w:val="00817A00"/>
    <w:rsid w:val="008218AB"/>
    <w:rsid w:val="008307AE"/>
    <w:rsid w:val="00833123"/>
    <w:rsid w:val="00835DB3"/>
    <w:rsid w:val="0083617B"/>
    <w:rsid w:val="008369FD"/>
    <w:rsid w:val="008371BD"/>
    <w:rsid w:val="0084320E"/>
    <w:rsid w:val="008452D0"/>
    <w:rsid w:val="008504A8"/>
    <w:rsid w:val="0085065F"/>
    <w:rsid w:val="00851E4C"/>
    <w:rsid w:val="0085282E"/>
    <w:rsid w:val="00855E3D"/>
    <w:rsid w:val="00856EB6"/>
    <w:rsid w:val="00861346"/>
    <w:rsid w:val="0086232B"/>
    <w:rsid w:val="00862358"/>
    <w:rsid w:val="008642C9"/>
    <w:rsid w:val="0086457C"/>
    <w:rsid w:val="00870B4C"/>
    <w:rsid w:val="00871267"/>
    <w:rsid w:val="0087143F"/>
    <w:rsid w:val="0087198C"/>
    <w:rsid w:val="008721F8"/>
    <w:rsid w:val="0087260A"/>
    <w:rsid w:val="00872C1F"/>
    <w:rsid w:val="00873B42"/>
    <w:rsid w:val="00874244"/>
    <w:rsid w:val="008818D7"/>
    <w:rsid w:val="00883EA5"/>
    <w:rsid w:val="00884B78"/>
    <w:rsid w:val="008856D8"/>
    <w:rsid w:val="008909DA"/>
    <w:rsid w:val="00892E82"/>
    <w:rsid w:val="00893D9A"/>
    <w:rsid w:val="008950DA"/>
    <w:rsid w:val="00895F66"/>
    <w:rsid w:val="00897AC8"/>
    <w:rsid w:val="008A13E1"/>
    <w:rsid w:val="008A2179"/>
    <w:rsid w:val="008A77F9"/>
    <w:rsid w:val="008B4133"/>
    <w:rsid w:val="008C136A"/>
    <w:rsid w:val="008C1936"/>
    <w:rsid w:val="008C1B58"/>
    <w:rsid w:val="008C27A1"/>
    <w:rsid w:val="008C39AE"/>
    <w:rsid w:val="008C590D"/>
    <w:rsid w:val="008C60EC"/>
    <w:rsid w:val="008C7FFD"/>
    <w:rsid w:val="008D12D7"/>
    <w:rsid w:val="008D26AF"/>
    <w:rsid w:val="008D27A0"/>
    <w:rsid w:val="008D39B9"/>
    <w:rsid w:val="008D6979"/>
    <w:rsid w:val="008E00D7"/>
    <w:rsid w:val="008E031B"/>
    <w:rsid w:val="008E0F1D"/>
    <w:rsid w:val="008E45E6"/>
    <w:rsid w:val="008E474F"/>
    <w:rsid w:val="008E504A"/>
    <w:rsid w:val="008E5313"/>
    <w:rsid w:val="008E7029"/>
    <w:rsid w:val="008E7EF6"/>
    <w:rsid w:val="008F03EA"/>
    <w:rsid w:val="008F0562"/>
    <w:rsid w:val="008F0CC4"/>
    <w:rsid w:val="008F1611"/>
    <w:rsid w:val="008F1F98"/>
    <w:rsid w:val="008F6758"/>
    <w:rsid w:val="008F6D7A"/>
    <w:rsid w:val="008F7A10"/>
    <w:rsid w:val="00903D1B"/>
    <w:rsid w:val="00903EB6"/>
    <w:rsid w:val="009040DD"/>
    <w:rsid w:val="009052C2"/>
    <w:rsid w:val="00905832"/>
    <w:rsid w:val="00905B47"/>
    <w:rsid w:val="009060E7"/>
    <w:rsid w:val="009062C7"/>
    <w:rsid w:val="00906452"/>
    <w:rsid w:val="00907C7F"/>
    <w:rsid w:val="00910C8C"/>
    <w:rsid w:val="00911C09"/>
    <w:rsid w:val="0091331C"/>
    <w:rsid w:val="0091429D"/>
    <w:rsid w:val="00916759"/>
    <w:rsid w:val="009242CD"/>
    <w:rsid w:val="00926E47"/>
    <w:rsid w:val="009279DE"/>
    <w:rsid w:val="00927A4D"/>
    <w:rsid w:val="00930116"/>
    <w:rsid w:val="009362A2"/>
    <w:rsid w:val="00936A03"/>
    <w:rsid w:val="0094212C"/>
    <w:rsid w:val="009465C5"/>
    <w:rsid w:val="009470AF"/>
    <w:rsid w:val="009529F2"/>
    <w:rsid w:val="00954689"/>
    <w:rsid w:val="00954753"/>
    <w:rsid w:val="00957893"/>
    <w:rsid w:val="0096015E"/>
    <w:rsid w:val="009617C9"/>
    <w:rsid w:val="00961C93"/>
    <w:rsid w:val="00963BDC"/>
    <w:rsid w:val="00963BEE"/>
    <w:rsid w:val="00965324"/>
    <w:rsid w:val="00965557"/>
    <w:rsid w:val="00965CB7"/>
    <w:rsid w:val="009662C0"/>
    <w:rsid w:val="00967479"/>
    <w:rsid w:val="009674AF"/>
    <w:rsid w:val="009707B7"/>
    <w:rsid w:val="0097091E"/>
    <w:rsid w:val="009722F4"/>
    <w:rsid w:val="009736D0"/>
    <w:rsid w:val="009760D3"/>
    <w:rsid w:val="00977132"/>
    <w:rsid w:val="009812F6"/>
    <w:rsid w:val="00981A4B"/>
    <w:rsid w:val="009824E1"/>
    <w:rsid w:val="00982501"/>
    <w:rsid w:val="0098253C"/>
    <w:rsid w:val="009863AD"/>
    <w:rsid w:val="00986606"/>
    <w:rsid w:val="009877D3"/>
    <w:rsid w:val="00987BED"/>
    <w:rsid w:val="00993873"/>
    <w:rsid w:val="00993E0C"/>
    <w:rsid w:val="00994E8F"/>
    <w:rsid w:val="00994F94"/>
    <w:rsid w:val="009951DC"/>
    <w:rsid w:val="009959BB"/>
    <w:rsid w:val="00997158"/>
    <w:rsid w:val="0099762F"/>
    <w:rsid w:val="009A3726"/>
    <w:rsid w:val="009A3A7C"/>
    <w:rsid w:val="009A492A"/>
    <w:rsid w:val="009A4CD9"/>
    <w:rsid w:val="009A5814"/>
    <w:rsid w:val="009A7119"/>
    <w:rsid w:val="009B2ADB"/>
    <w:rsid w:val="009B41D3"/>
    <w:rsid w:val="009B603A"/>
    <w:rsid w:val="009B60DF"/>
    <w:rsid w:val="009C1AC4"/>
    <w:rsid w:val="009C2D0E"/>
    <w:rsid w:val="009C30A5"/>
    <w:rsid w:val="009C3DAC"/>
    <w:rsid w:val="009C42E0"/>
    <w:rsid w:val="009C5519"/>
    <w:rsid w:val="009C569F"/>
    <w:rsid w:val="009D254C"/>
    <w:rsid w:val="009D3EF3"/>
    <w:rsid w:val="009D5362"/>
    <w:rsid w:val="009D62E7"/>
    <w:rsid w:val="009D659C"/>
    <w:rsid w:val="009D68A5"/>
    <w:rsid w:val="009D71A9"/>
    <w:rsid w:val="009E0466"/>
    <w:rsid w:val="009E1415"/>
    <w:rsid w:val="009E2AEE"/>
    <w:rsid w:val="009E3F7A"/>
    <w:rsid w:val="009E4933"/>
    <w:rsid w:val="009E6116"/>
    <w:rsid w:val="009E623F"/>
    <w:rsid w:val="009E7E33"/>
    <w:rsid w:val="009F0C36"/>
    <w:rsid w:val="009F2786"/>
    <w:rsid w:val="009F382D"/>
    <w:rsid w:val="009F4EC9"/>
    <w:rsid w:val="00A01FE5"/>
    <w:rsid w:val="00A02E43"/>
    <w:rsid w:val="00A03C31"/>
    <w:rsid w:val="00A03F28"/>
    <w:rsid w:val="00A065F9"/>
    <w:rsid w:val="00A07F34"/>
    <w:rsid w:val="00A12A49"/>
    <w:rsid w:val="00A17411"/>
    <w:rsid w:val="00A17A7C"/>
    <w:rsid w:val="00A2137F"/>
    <w:rsid w:val="00A22154"/>
    <w:rsid w:val="00A234AC"/>
    <w:rsid w:val="00A25C38"/>
    <w:rsid w:val="00A3456E"/>
    <w:rsid w:val="00A349FC"/>
    <w:rsid w:val="00A34CAE"/>
    <w:rsid w:val="00A35396"/>
    <w:rsid w:val="00A36BBE"/>
    <w:rsid w:val="00A40A1F"/>
    <w:rsid w:val="00A41261"/>
    <w:rsid w:val="00A42846"/>
    <w:rsid w:val="00A42BE8"/>
    <w:rsid w:val="00A4307A"/>
    <w:rsid w:val="00A4499C"/>
    <w:rsid w:val="00A47EBB"/>
    <w:rsid w:val="00A5153F"/>
    <w:rsid w:val="00A51CDD"/>
    <w:rsid w:val="00A52A92"/>
    <w:rsid w:val="00A52E4D"/>
    <w:rsid w:val="00A56715"/>
    <w:rsid w:val="00A56EBC"/>
    <w:rsid w:val="00A579BF"/>
    <w:rsid w:val="00A57AF6"/>
    <w:rsid w:val="00A61B1C"/>
    <w:rsid w:val="00A634D6"/>
    <w:rsid w:val="00A6482A"/>
    <w:rsid w:val="00A6730D"/>
    <w:rsid w:val="00A7125C"/>
    <w:rsid w:val="00A713B5"/>
    <w:rsid w:val="00A71625"/>
    <w:rsid w:val="00A71B9B"/>
    <w:rsid w:val="00A72FC7"/>
    <w:rsid w:val="00A732D7"/>
    <w:rsid w:val="00A751C7"/>
    <w:rsid w:val="00A77528"/>
    <w:rsid w:val="00A8010A"/>
    <w:rsid w:val="00A80197"/>
    <w:rsid w:val="00A802A6"/>
    <w:rsid w:val="00A80461"/>
    <w:rsid w:val="00A808B5"/>
    <w:rsid w:val="00A822B9"/>
    <w:rsid w:val="00A82709"/>
    <w:rsid w:val="00A8352D"/>
    <w:rsid w:val="00A855CB"/>
    <w:rsid w:val="00A86000"/>
    <w:rsid w:val="00A8705C"/>
    <w:rsid w:val="00A87844"/>
    <w:rsid w:val="00A87C28"/>
    <w:rsid w:val="00A90A4D"/>
    <w:rsid w:val="00A93424"/>
    <w:rsid w:val="00A97A7D"/>
    <w:rsid w:val="00A97FF3"/>
    <w:rsid w:val="00AA038C"/>
    <w:rsid w:val="00AA5611"/>
    <w:rsid w:val="00AA7A09"/>
    <w:rsid w:val="00AB3B50"/>
    <w:rsid w:val="00AB4493"/>
    <w:rsid w:val="00AB451E"/>
    <w:rsid w:val="00AB609E"/>
    <w:rsid w:val="00AC05B1"/>
    <w:rsid w:val="00AC12DB"/>
    <w:rsid w:val="00AC1705"/>
    <w:rsid w:val="00AC18AC"/>
    <w:rsid w:val="00AC3925"/>
    <w:rsid w:val="00AC39E2"/>
    <w:rsid w:val="00AC40BC"/>
    <w:rsid w:val="00AD09C0"/>
    <w:rsid w:val="00AD0A1C"/>
    <w:rsid w:val="00AD356C"/>
    <w:rsid w:val="00AE1F39"/>
    <w:rsid w:val="00AE239C"/>
    <w:rsid w:val="00AE2914"/>
    <w:rsid w:val="00AE41A8"/>
    <w:rsid w:val="00AE5148"/>
    <w:rsid w:val="00AE6D15"/>
    <w:rsid w:val="00AF09AC"/>
    <w:rsid w:val="00AF0D51"/>
    <w:rsid w:val="00AF2826"/>
    <w:rsid w:val="00AF28CC"/>
    <w:rsid w:val="00AF2CC3"/>
    <w:rsid w:val="00B00CB2"/>
    <w:rsid w:val="00B010A2"/>
    <w:rsid w:val="00B02D31"/>
    <w:rsid w:val="00B038A2"/>
    <w:rsid w:val="00B04182"/>
    <w:rsid w:val="00B07AE3"/>
    <w:rsid w:val="00B11430"/>
    <w:rsid w:val="00B11DC4"/>
    <w:rsid w:val="00B2180E"/>
    <w:rsid w:val="00B26892"/>
    <w:rsid w:val="00B26E4D"/>
    <w:rsid w:val="00B3533B"/>
    <w:rsid w:val="00B353EB"/>
    <w:rsid w:val="00B36B69"/>
    <w:rsid w:val="00B439C4"/>
    <w:rsid w:val="00B4535E"/>
    <w:rsid w:val="00B46A9E"/>
    <w:rsid w:val="00B5010C"/>
    <w:rsid w:val="00B5140F"/>
    <w:rsid w:val="00B52156"/>
    <w:rsid w:val="00B52A8C"/>
    <w:rsid w:val="00B550BF"/>
    <w:rsid w:val="00B55FF1"/>
    <w:rsid w:val="00B61D78"/>
    <w:rsid w:val="00B636A8"/>
    <w:rsid w:val="00B665C6"/>
    <w:rsid w:val="00B716EF"/>
    <w:rsid w:val="00B72793"/>
    <w:rsid w:val="00B74377"/>
    <w:rsid w:val="00B76F74"/>
    <w:rsid w:val="00B805AF"/>
    <w:rsid w:val="00B8583B"/>
    <w:rsid w:val="00B86221"/>
    <w:rsid w:val="00B869EC"/>
    <w:rsid w:val="00B86D06"/>
    <w:rsid w:val="00B929BE"/>
    <w:rsid w:val="00B9397A"/>
    <w:rsid w:val="00B9633D"/>
    <w:rsid w:val="00B97360"/>
    <w:rsid w:val="00BA0B75"/>
    <w:rsid w:val="00BA2029"/>
    <w:rsid w:val="00BA2436"/>
    <w:rsid w:val="00BA2EBE"/>
    <w:rsid w:val="00BB0F28"/>
    <w:rsid w:val="00BB3095"/>
    <w:rsid w:val="00BB3396"/>
    <w:rsid w:val="00BB376D"/>
    <w:rsid w:val="00BB458A"/>
    <w:rsid w:val="00BB66CB"/>
    <w:rsid w:val="00BC4A63"/>
    <w:rsid w:val="00BC5161"/>
    <w:rsid w:val="00BC6781"/>
    <w:rsid w:val="00BC7088"/>
    <w:rsid w:val="00BC75ED"/>
    <w:rsid w:val="00BD00D3"/>
    <w:rsid w:val="00BD1659"/>
    <w:rsid w:val="00BD216A"/>
    <w:rsid w:val="00BD2452"/>
    <w:rsid w:val="00BD3AA9"/>
    <w:rsid w:val="00BD4A18"/>
    <w:rsid w:val="00BD4A98"/>
    <w:rsid w:val="00BD6DB2"/>
    <w:rsid w:val="00BE11CF"/>
    <w:rsid w:val="00BE138F"/>
    <w:rsid w:val="00BE21AB"/>
    <w:rsid w:val="00BE24D3"/>
    <w:rsid w:val="00BE3BCC"/>
    <w:rsid w:val="00BE4331"/>
    <w:rsid w:val="00BE55CB"/>
    <w:rsid w:val="00BE579D"/>
    <w:rsid w:val="00BE6547"/>
    <w:rsid w:val="00BE66FA"/>
    <w:rsid w:val="00BE73CB"/>
    <w:rsid w:val="00BF1E6C"/>
    <w:rsid w:val="00BF23AF"/>
    <w:rsid w:val="00BF617A"/>
    <w:rsid w:val="00BF6364"/>
    <w:rsid w:val="00BF6FCE"/>
    <w:rsid w:val="00C015F3"/>
    <w:rsid w:val="00C029F4"/>
    <w:rsid w:val="00C0379D"/>
    <w:rsid w:val="00C03931"/>
    <w:rsid w:val="00C05FE3"/>
    <w:rsid w:val="00C066E8"/>
    <w:rsid w:val="00C10957"/>
    <w:rsid w:val="00C14A8F"/>
    <w:rsid w:val="00C1599B"/>
    <w:rsid w:val="00C1728B"/>
    <w:rsid w:val="00C20D71"/>
    <w:rsid w:val="00C2136D"/>
    <w:rsid w:val="00C214EE"/>
    <w:rsid w:val="00C2314B"/>
    <w:rsid w:val="00C236CC"/>
    <w:rsid w:val="00C23AB9"/>
    <w:rsid w:val="00C24971"/>
    <w:rsid w:val="00C26B8A"/>
    <w:rsid w:val="00C26BE5"/>
    <w:rsid w:val="00C26E4D"/>
    <w:rsid w:val="00C27909"/>
    <w:rsid w:val="00C27B03"/>
    <w:rsid w:val="00C314E1"/>
    <w:rsid w:val="00C33A9B"/>
    <w:rsid w:val="00C33AAE"/>
    <w:rsid w:val="00C34397"/>
    <w:rsid w:val="00C34455"/>
    <w:rsid w:val="00C358E3"/>
    <w:rsid w:val="00C3788B"/>
    <w:rsid w:val="00C40037"/>
    <w:rsid w:val="00C4095D"/>
    <w:rsid w:val="00C4543C"/>
    <w:rsid w:val="00C46D40"/>
    <w:rsid w:val="00C5067B"/>
    <w:rsid w:val="00C52BDB"/>
    <w:rsid w:val="00C54B21"/>
    <w:rsid w:val="00C601D2"/>
    <w:rsid w:val="00C64586"/>
    <w:rsid w:val="00C65BCC"/>
    <w:rsid w:val="00C65C5D"/>
    <w:rsid w:val="00C66970"/>
    <w:rsid w:val="00C7194D"/>
    <w:rsid w:val="00C73B81"/>
    <w:rsid w:val="00C74028"/>
    <w:rsid w:val="00C746E7"/>
    <w:rsid w:val="00C8691C"/>
    <w:rsid w:val="00C90C9D"/>
    <w:rsid w:val="00C9434B"/>
    <w:rsid w:val="00C95247"/>
    <w:rsid w:val="00CA0D67"/>
    <w:rsid w:val="00CA168A"/>
    <w:rsid w:val="00CA2B6D"/>
    <w:rsid w:val="00CA357E"/>
    <w:rsid w:val="00CA44F9"/>
    <w:rsid w:val="00CA45A6"/>
    <w:rsid w:val="00CA4A69"/>
    <w:rsid w:val="00CA5483"/>
    <w:rsid w:val="00CA78C8"/>
    <w:rsid w:val="00CA7D9E"/>
    <w:rsid w:val="00CB134B"/>
    <w:rsid w:val="00CB5D06"/>
    <w:rsid w:val="00CC3E0C"/>
    <w:rsid w:val="00CC587C"/>
    <w:rsid w:val="00CC58D3"/>
    <w:rsid w:val="00CC6BF3"/>
    <w:rsid w:val="00CC6C4A"/>
    <w:rsid w:val="00CC784D"/>
    <w:rsid w:val="00CC7909"/>
    <w:rsid w:val="00CD3514"/>
    <w:rsid w:val="00CD558A"/>
    <w:rsid w:val="00CD5B0D"/>
    <w:rsid w:val="00CD7EBA"/>
    <w:rsid w:val="00CE04F7"/>
    <w:rsid w:val="00CE13AF"/>
    <w:rsid w:val="00CE22BE"/>
    <w:rsid w:val="00CE3661"/>
    <w:rsid w:val="00CE4D29"/>
    <w:rsid w:val="00CE4D48"/>
    <w:rsid w:val="00CF05A8"/>
    <w:rsid w:val="00CF3B02"/>
    <w:rsid w:val="00CF7541"/>
    <w:rsid w:val="00D0337B"/>
    <w:rsid w:val="00D03B01"/>
    <w:rsid w:val="00D03DB5"/>
    <w:rsid w:val="00D06811"/>
    <w:rsid w:val="00D079B2"/>
    <w:rsid w:val="00D114E9"/>
    <w:rsid w:val="00D1311E"/>
    <w:rsid w:val="00D13749"/>
    <w:rsid w:val="00D150E9"/>
    <w:rsid w:val="00D237DD"/>
    <w:rsid w:val="00D37A07"/>
    <w:rsid w:val="00D41E4B"/>
    <w:rsid w:val="00D429C6"/>
    <w:rsid w:val="00D42FA0"/>
    <w:rsid w:val="00D4354B"/>
    <w:rsid w:val="00D435AF"/>
    <w:rsid w:val="00D47748"/>
    <w:rsid w:val="00D50E66"/>
    <w:rsid w:val="00D54A2B"/>
    <w:rsid w:val="00D54CC3"/>
    <w:rsid w:val="00D55F2A"/>
    <w:rsid w:val="00D6041A"/>
    <w:rsid w:val="00D620FC"/>
    <w:rsid w:val="00D633EB"/>
    <w:rsid w:val="00D6509F"/>
    <w:rsid w:val="00D66866"/>
    <w:rsid w:val="00D6701F"/>
    <w:rsid w:val="00D72C3D"/>
    <w:rsid w:val="00D73DCC"/>
    <w:rsid w:val="00D740DE"/>
    <w:rsid w:val="00D75289"/>
    <w:rsid w:val="00D761A5"/>
    <w:rsid w:val="00D77021"/>
    <w:rsid w:val="00D77D77"/>
    <w:rsid w:val="00D82FF7"/>
    <w:rsid w:val="00D8336D"/>
    <w:rsid w:val="00D83EE6"/>
    <w:rsid w:val="00D847FE"/>
    <w:rsid w:val="00D9181D"/>
    <w:rsid w:val="00D92D85"/>
    <w:rsid w:val="00D93148"/>
    <w:rsid w:val="00D93314"/>
    <w:rsid w:val="00D964EA"/>
    <w:rsid w:val="00D966D0"/>
    <w:rsid w:val="00D97AD6"/>
    <w:rsid w:val="00D97F09"/>
    <w:rsid w:val="00DA0C59"/>
    <w:rsid w:val="00DA3991"/>
    <w:rsid w:val="00DA5CB5"/>
    <w:rsid w:val="00DB0990"/>
    <w:rsid w:val="00DB417D"/>
    <w:rsid w:val="00DB468E"/>
    <w:rsid w:val="00DB7E44"/>
    <w:rsid w:val="00DB7E6C"/>
    <w:rsid w:val="00DC0A64"/>
    <w:rsid w:val="00DC31ED"/>
    <w:rsid w:val="00DC5868"/>
    <w:rsid w:val="00DC798F"/>
    <w:rsid w:val="00DD00B0"/>
    <w:rsid w:val="00DD08EB"/>
    <w:rsid w:val="00DD157C"/>
    <w:rsid w:val="00DD1766"/>
    <w:rsid w:val="00DD431F"/>
    <w:rsid w:val="00DD5A29"/>
    <w:rsid w:val="00DD5D9D"/>
    <w:rsid w:val="00DE0AC5"/>
    <w:rsid w:val="00DE35CB"/>
    <w:rsid w:val="00DE3D87"/>
    <w:rsid w:val="00DF0198"/>
    <w:rsid w:val="00DF21E9"/>
    <w:rsid w:val="00DF3F4A"/>
    <w:rsid w:val="00E00F14"/>
    <w:rsid w:val="00E012F4"/>
    <w:rsid w:val="00E03640"/>
    <w:rsid w:val="00E062AD"/>
    <w:rsid w:val="00E06386"/>
    <w:rsid w:val="00E074A0"/>
    <w:rsid w:val="00E11C44"/>
    <w:rsid w:val="00E2482C"/>
    <w:rsid w:val="00E24CB8"/>
    <w:rsid w:val="00E24EB4"/>
    <w:rsid w:val="00E252C9"/>
    <w:rsid w:val="00E2592C"/>
    <w:rsid w:val="00E27326"/>
    <w:rsid w:val="00E27F7C"/>
    <w:rsid w:val="00E320ED"/>
    <w:rsid w:val="00E33AFB"/>
    <w:rsid w:val="00E34218"/>
    <w:rsid w:val="00E419F0"/>
    <w:rsid w:val="00E43E31"/>
    <w:rsid w:val="00E43E3E"/>
    <w:rsid w:val="00E45726"/>
    <w:rsid w:val="00E4595B"/>
    <w:rsid w:val="00E46282"/>
    <w:rsid w:val="00E47F85"/>
    <w:rsid w:val="00E5061E"/>
    <w:rsid w:val="00E51048"/>
    <w:rsid w:val="00E5216E"/>
    <w:rsid w:val="00E52347"/>
    <w:rsid w:val="00E57EBA"/>
    <w:rsid w:val="00E61797"/>
    <w:rsid w:val="00E63171"/>
    <w:rsid w:val="00E63783"/>
    <w:rsid w:val="00E63B04"/>
    <w:rsid w:val="00E64DE0"/>
    <w:rsid w:val="00E6530F"/>
    <w:rsid w:val="00E653D0"/>
    <w:rsid w:val="00E679D2"/>
    <w:rsid w:val="00E704BA"/>
    <w:rsid w:val="00E71FE1"/>
    <w:rsid w:val="00E72F4A"/>
    <w:rsid w:val="00E805CC"/>
    <w:rsid w:val="00E819B5"/>
    <w:rsid w:val="00E82344"/>
    <w:rsid w:val="00E84C82"/>
    <w:rsid w:val="00E84D64"/>
    <w:rsid w:val="00E86A01"/>
    <w:rsid w:val="00E87408"/>
    <w:rsid w:val="00E903AF"/>
    <w:rsid w:val="00E914C4"/>
    <w:rsid w:val="00E920A1"/>
    <w:rsid w:val="00E934F5"/>
    <w:rsid w:val="00E95149"/>
    <w:rsid w:val="00E96414"/>
    <w:rsid w:val="00E96961"/>
    <w:rsid w:val="00E97B87"/>
    <w:rsid w:val="00EA0EC6"/>
    <w:rsid w:val="00EA0FA3"/>
    <w:rsid w:val="00EA11D0"/>
    <w:rsid w:val="00EA4C4C"/>
    <w:rsid w:val="00EA72EC"/>
    <w:rsid w:val="00EB0CF5"/>
    <w:rsid w:val="00EB11CB"/>
    <w:rsid w:val="00EB275A"/>
    <w:rsid w:val="00EB3A58"/>
    <w:rsid w:val="00EB4A42"/>
    <w:rsid w:val="00EB7162"/>
    <w:rsid w:val="00EB786A"/>
    <w:rsid w:val="00EC0FEA"/>
    <w:rsid w:val="00EC1578"/>
    <w:rsid w:val="00EC1C72"/>
    <w:rsid w:val="00EC229F"/>
    <w:rsid w:val="00EC3CC9"/>
    <w:rsid w:val="00EC680A"/>
    <w:rsid w:val="00EC6A30"/>
    <w:rsid w:val="00ED03D7"/>
    <w:rsid w:val="00ED09D8"/>
    <w:rsid w:val="00ED7732"/>
    <w:rsid w:val="00EE0B57"/>
    <w:rsid w:val="00EE141A"/>
    <w:rsid w:val="00EE1632"/>
    <w:rsid w:val="00EE2BED"/>
    <w:rsid w:val="00EE374B"/>
    <w:rsid w:val="00EE79DB"/>
    <w:rsid w:val="00EF16E0"/>
    <w:rsid w:val="00EF1CD8"/>
    <w:rsid w:val="00EF3C52"/>
    <w:rsid w:val="00EF738F"/>
    <w:rsid w:val="00F00A1D"/>
    <w:rsid w:val="00F04EA6"/>
    <w:rsid w:val="00F07EF5"/>
    <w:rsid w:val="00F11BB5"/>
    <w:rsid w:val="00F13616"/>
    <w:rsid w:val="00F1417B"/>
    <w:rsid w:val="00F20C36"/>
    <w:rsid w:val="00F23CF5"/>
    <w:rsid w:val="00F26A52"/>
    <w:rsid w:val="00F26C2E"/>
    <w:rsid w:val="00F34B99"/>
    <w:rsid w:val="00F402A0"/>
    <w:rsid w:val="00F4375D"/>
    <w:rsid w:val="00F43F60"/>
    <w:rsid w:val="00F476D9"/>
    <w:rsid w:val="00F52DAB"/>
    <w:rsid w:val="00F52EF8"/>
    <w:rsid w:val="00F543F0"/>
    <w:rsid w:val="00F55445"/>
    <w:rsid w:val="00F579FB"/>
    <w:rsid w:val="00F6343A"/>
    <w:rsid w:val="00F64AB4"/>
    <w:rsid w:val="00F66EEA"/>
    <w:rsid w:val="00F70D1D"/>
    <w:rsid w:val="00F71CD7"/>
    <w:rsid w:val="00F73701"/>
    <w:rsid w:val="00F74948"/>
    <w:rsid w:val="00F75B40"/>
    <w:rsid w:val="00F801A6"/>
    <w:rsid w:val="00F80D57"/>
    <w:rsid w:val="00F816B4"/>
    <w:rsid w:val="00F81D29"/>
    <w:rsid w:val="00F85A82"/>
    <w:rsid w:val="00F879DC"/>
    <w:rsid w:val="00F91C4D"/>
    <w:rsid w:val="00F92FD9"/>
    <w:rsid w:val="00F931A1"/>
    <w:rsid w:val="00F94463"/>
    <w:rsid w:val="00F9601A"/>
    <w:rsid w:val="00F977A7"/>
    <w:rsid w:val="00FA239B"/>
    <w:rsid w:val="00FA3365"/>
    <w:rsid w:val="00FA4760"/>
    <w:rsid w:val="00FA5ABD"/>
    <w:rsid w:val="00FA62AF"/>
    <w:rsid w:val="00FA6684"/>
    <w:rsid w:val="00FA731E"/>
    <w:rsid w:val="00FB2B38"/>
    <w:rsid w:val="00FB5094"/>
    <w:rsid w:val="00FB6E89"/>
    <w:rsid w:val="00FC0EB0"/>
    <w:rsid w:val="00FC1D27"/>
    <w:rsid w:val="00FC3F5F"/>
    <w:rsid w:val="00FC6358"/>
    <w:rsid w:val="00FC76D1"/>
    <w:rsid w:val="00FC7E1F"/>
    <w:rsid w:val="00FD01CF"/>
    <w:rsid w:val="00FD320D"/>
    <w:rsid w:val="00FD5E8D"/>
    <w:rsid w:val="00FE23DE"/>
    <w:rsid w:val="00FE5F66"/>
    <w:rsid w:val="00FE6746"/>
    <w:rsid w:val="00FE7243"/>
    <w:rsid w:val="00FF0E54"/>
    <w:rsid w:val="00FF1165"/>
    <w:rsid w:val="00FF2863"/>
    <w:rsid w:val="00FF313E"/>
    <w:rsid w:val="00FF3FAA"/>
    <w:rsid w:val="00FF6887"/>
    <w:rsid w:val="00FF698F"/>
    <w:rsid w:val="0E7F5341"/>
    <w:rsid w:val="201F5D69"/>
    <w:rsid w:val="213F41F6"/>
    <w:rsid w:val="2A315BCB"/>
    <w:rsid w:val="3C01346B"/>
    <w:rsid w:val="4AEA76CC"/>
    <w:rsid w:val="53E429E6"/>
    <w:rsid w:val="565A340A"/>
    <w:rsid w:val="5B123E6D"/>
    <w:rsid w:val="685A69D2"/>
    <w:rsid w:val="7BBE6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semiHidden/>
    <w:unhideWhenUsed/>
    <w:qFormat/>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38"/>
    <w:semiHidden/>
    <w:unhideWhenUsed/>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Balloon Text"/>
    <w:basedOn w:val="1"/>
    <w:link w:val="136"/>
    <w:qFormat/>
    <w:uiPriority w:val="0"/>
    <w:rPr>
      <w:sz w:val="18"/>
      <w:szCs w:val="18"/>
    </w:rPr>
  </w:style>
  <w:style w:type="paragraph" w:styleId="16">
    <w:name w:val="footer"/>
    <w:basedOn w:val="1"/>
    <w:link w:val="140"/>
    <w:qFormat/>
    <w:uiPriority w:val="99"/>
    <w:pPr>
      <w:snapToGrid w:val="0"/>
      <w:ind w:right="210" w:rightChars="100"/>
      <w:jc w:val="right"/>
    </w:pPr>
    <w:rPr>
      <w:sz w:val="18"/>
      <w:szCs w:val="18"/>
    </w:rPr>
  </w:style>
  <w:style w:type="paragraph" w:styleId="17">
    <w:name w:val="header"/>
    <w:basedOn w:val="1"/>
    <w:link w:val="137"/>
    <w:qFormat/>
    <w:uiPriority w:val="99"/>
    <w:pPr>
      <w:snapToGrid w:val="0"/>
      <w:jc w:val="left"/>
    </w:pPr>
    <w:rPr>
      <w:sz w:val="18"/>
      <w:szCs w:val="18"/>
    </w:rPr>
  </w:style>
  <w:style w:type="paragraph" w:styleId="18">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19">
    <w:name w:val="toc 4"/>
    <w:basedOn w:val="1"/>
    <w:next w:val="1"/>
    <w:semiHidden/>
    <w:qFormat/>
    <w:uiPriority w:val="0"/>
    <w:pPr>
      <w:tabs>
        <w:tab w:val="right" w:leader="dot" w:pos="9241"/>
      </w:tabs>
      <w:ind w:firstLine="198"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3"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1"/>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index 2"/>
    <w:basedOn w:val="1"/>
    <w:next w:val="1"/>
    <w:qFormat/>
    <w:uiPriority w:val="0"/>
    <w:pPr>
      <w:ind w:left="420" w:hanging="210"/>
      <w:jc w:val="left"/>
    </w:pPr>
    <w:rPr>
      <w:rFonts w:ascii="Calibri" w:hAnsi="Calibri"/>
      <w:sz w:val="20"/>
      <w:szCs w:val="20"/>
    </w:rPr>
  </w:style>
  <w:style w:type="paragraph" w:styleId="30">
    <w:name w:val="annotation subject"/>
    <w:basedOn w:val="7"/>
    <w:next w:val="7"/>
    <w:link w:val="139"/>
    <w:semiHidden/>
    <w:unhideWhenUsed/>
    <w:qFormat/>
    <w:uiPriority w:val="0"/>
    <w:rPr>
      <w:b/>
      <w:bCs/>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semiHidden/>
    <w:qFormat/>
    <w:uiPriority w:val="0"/>
    <w:rPr>
      <w:vertAlign w:val="superscript"/>
    </w:rPr>
  </w:style>
  <w:style w:type="character" w:styleId="35">
    <w:name w:val="page number"/>
    <w:qFormat/>
    <w:uiPriority w:val="0"/>
    <w:rPr>
      <w:rFonts w:ascii="Times New Roman" w:hAnsi="Times New Roman" w:eastAsia="宋体"/>
      <w:sz w:val="18"/>
    </w:rPr>
  </w:style>
  <w:style w:type="character" w:styleId="36">
    <w:name w:val="FollowedHyperlink"/>
    <w:qFormat/>
    <w:uiPriority w:val="0"/>
    <w:rPr>
      <w:color w:val="800080"/>
      <w:u w:val="single"/>
    </w:rPr>
  </w:style>
  <w:style w:type="character" w:styleId="37">
    <w:name w:val="Hyperlink"/>
    <w:qFormat/>
    <w:uiPriority w:val="99"/>
    <w:rPr>
      <w:color w:val="0000FF"/>
      <w:spacing w:val="0"/>
      <w:w w:val="100"/>
      <w:szCs w:val="21"/>
      <w:u w:val="single"/>
    </w:rPr>
  </w:style>
  <w:style w:type="character" w:styleId="38">
    <w:name w:val="annotation reference"/>
    <w:basedOn w:val="33"/>
    <w:semiHidden/>
    <w:unhideWhenUsed/>
    <w:qFormat/>
    <w:uiPriority w:val="0"/>
    <w:rPr>
      <w:sz w:val="21"/>
      <w:szCs w:val="21"/>
    </w:rPr>
  </w:style>
  <w:style w:type="character" w:styleId="39">
    <w:name w:val="footnote reference"/>
    <w:semiHidden/>
    <w:qFormat/>
    <w:uiPriority w:val="0"/>
    <w:rPr>
      <w:vertAlign w:val="superscript"/>
    </w:rPr>
  </w:style>
  <w:style w:type="character" w:customStyle="1" w:styleId="40">
    <w:name w:val="段 Char"/>
    <w:link w:val="22"/>
    <w:qFormat/>
    <w:uiPriority w:val="0"/>
    <w:rPr>
      <w:rFonts w:ascii="宋体"/>
      <w:sz w:val="21"/>
      <w:lang w:val="en-US" w:eastAsia="zh-CN" w:bidi="ar-SA"/>
    </w:rPr>
  </w:style>
  <w:style w:type="paragraph" w:customStyle="1" w:styleId="41">
    <w:name w:val="一级条标题"/>
    <w:next w:val="22"/>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4">
    <w:name w:val="章标题"/>
    <w:next w:val="22"/>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5">
    <w:name w:val="二级条标题"/>
    <w:basedOn w:val="41"/>
    <w:next w:val="22"/>
    <w:qFormat/>
    <w:uiPriority w:val="0"/>
    <w:pPr>
      <w:numPr>
        <w:ilvl w:val="2"/>
      </w:numPr>
      <w:spacing w:before="50" w:after="50"/>
      <w:outlineLvl w:val="3"/>
    </w:pPr>
  </w:style>
  <w:style w:type="paragraph" w:customStyle="1" w:styleId="4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9">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0">
    <w:name w:val="三级条标题"/>
    <w:basedOn w:val="45"/>
    <w:next w:val="22"/>
    <w:qFormat/>
    <w:uiPriority w:val="0"/>
    <w:pPr>
      <w:numPr>
        <w:ilvl w:val="0"/>
        <w:numId w:val="0"/>
      </w:numPr>
      <w:outlineLvl w:val="4"/>
    </w:pPr>
  </w:style>
  <w:style w:type="paragraph" w:customStyle="1" w:styleId="51">
    <w:name w:val="示例"/>
    <w:next w:val="5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4">
    <w:name w:val="四级条标题"/>
    <w:basedOn w:val="50"/>
    <w:next w:val="22"/>
    <w:qFormat/>
    <w:uiPriority w:val="0"/>
    <w:pPr>
      <w:numPr>
        <w:ilvl w:val="4"/>
        <w:numId w:val="2"/>
      </w:numPr>
      <w:outlineLvl w:val="5"/>
    </w:pPr>
  </w:style>
  <w:style w:type="paragraph" w:customStyle="1" w:styleId="55">
    <w:name w:val="五级条标题"/>
    <w:basedOn w:val="54"/>
    <w:next w:val="22"/>
    <w:qFormat/>
    <w:uiPriority w:val="0"/>
    <w:pPr>
      <w:numPr>
        <w:ilvl w:val="5"/>
      </w:numPr>
      <w:outlineLvl w:val="6"/>
    </w:pPr>
  </w:style>
  <w:style w:type="paragraph" w:customStyle="1" w:styleId="56">
    <w:name w:val="注："/>
    <w:next w:val="22"/>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9">
    <w:name w:val="列项◆（三级）"/>
    <w:basedOn w:val="1"/>
    <w:qFormat/>
    <w:uiPriority w:val="0"/>
    <w:pPr>
      <w:numPr>
        <w:ilvl w:val="2"/>
        <w:numId w:val="3"/>
      </w:numPr>
    </w:pPr>
    <w:rPr>
      <w:rFonts w:ascii="宋体"/>
      <w:szCs w:val="21"/>
    </w:rPr>
  </w:style>
  <w:style w:type="paragraph" w:customStyle="1" w:styleId="60">
    <w:name w:val="编号列项（三级）"/>
    <w:qFormat/>
    <w:uiPriority w:val="0"/>
    <w:rPr>
      <w:rFonts w:ascii="宋体" w:hAnsi="Times New Roman" w:eastAsia="宋体" w:cs="Times New Roman"/>
      <w:sz w:val="21"/>
      <w:lang w:val="en-US" w:eastAsia="zh-CN" w:bidi="ar-SA"/>
    </w:rPr>
  </w:style>
  <w:style w:type="paragraph" w:customStyle="1" w:styleId="61">
    <w:name w:val="示例×："/>
    <w:basedOn w:val="44"/>
    <w:qFormat/>
    <w:uiPriority w:val="0"/>
    <w:pPr>
      <w:numPr>
        <w:numId w:val="8"/>
      </w:numPr>
      <w:spacing w:before="0" w:beforeLines="0" w:after="0" w:afterLines="0"/>
      <w:outlineLvl w:val="9"/>
    </w:pPr>
    <w:rPr>
      <w:rFonts w:ascii="宋体" w:eastAsia="宋体"/>
      <w:sz w:val="18"/>
      <w:szCs w:val="18"/>
    </w:rPr>
  </w:style>
  <w:style w:type="paragraph" w:customStyle="1" w:styleId="62">
    <w:name w:val="二级无"/>
    <w:basedOn w:val="45"/>
    <w:qFormat/>
    <w:uiPriority w:val="0"/>
    <w:pPr>
      <w:spacing w:before="0" w:beforeLines="0" w:after="0" w:afterLines="0"/>
      <w:ind w:left="0"/>
    </w:pPr>
    <w:rPr>
      <w:rFonts w:ascii="宋体" w:eastAsia="宋体"/>
    </w:rPr>
  </w:style>
  <w:style w:type="paragraph" w:customStyle="1" w:styleId="63">
    <w:name w:val="注：（正文）"/>
    <w:basedOn w:val="56"/>
    <w:next w:val="22"/>
    <w:qFormat/>
    <w:uiPriority w:val="0"/>
    <w:pPr>
      <w:numPr>
        <w:ilvl w:val="0"/>
        <w:numId w:val="9"/>
      </w:numPr>
    </w:pPr>
  </w:style>
  <w:style w:type="paragraph" w:customStyle="1" w:styleId="64">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8">
    <w:name w:val="标准书眉_偶数页"/>
    <w:basedOn w:val="43"/>
    <w:next w:val="1"/>
    <w:qFormat/>
    <w:uiPriority w:val="0"/>
    <w:pPr>
      <w:jc w:val="left"/>
    </w:pPr>
  </w:style>
  <w:style w:type="paragraph" w:customStyle="1" w:styleId="69">
    <w:name w:val="标准书眉一"/>
    <w:qFormat/>
    <w:uiPriority w:val="0"/>
    <w:pPr>
      <w:jc w:val="both"/>
    </w:pPr>
    <w:rPr>
      <w:rFonts w:ascii="Times New Roman" w:hAnsi="Times New Roman" w:eastAsia="宋体" w:cs="Times New Roman"/>
      <w:lang w:val="en-US" w:eastAsia="zh-CN" w:bidi="ar-SA"/>
    </w:rPr>
  </w:style>
  <w:style w:type="paragraph" w:customStyle="1" w:styleId="70">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1">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2">
    <w:name w:val="发布"/>
    <w:qFormat/>
    <w:uiPriority w:val="0"/>
    <w:rPr>
      <w:rFonts w:ascii="黑体" w:eastAsia="黑体"/>
      <w:spacing w:val="85"/>
      <w:w w:val="100"/>
      <w:position w:val="3"/>
      <w:sz w:val="28"/>
      <w:szCs w:val="28"/>
    </w:rPr>
  </w:style>
  <w:style w:type="paragraph" w:customStyle="1" w:styleId="73">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封面标准英文名称"/>
    <w:basedOn w:val="77"/>
    <w:qFormat/>
    <w:uiPriority w:val="0"/>
    <w:pPr>
      <w:framePr w:wrap="around"/>
      <w:spacing w:before="370" w:line="400" w:lineRule="exact"/>
    </w:pPr>
    <w:rPr>
      <w:rFonts w:ascii="Times New Roman"/>
      <w:sz w:val="28"/>
      <w:szCs w:val="28"/>
    </w:rPr>
  </w:style>
  <w:style w:type="paragraph" w:customStyle="1" w:styleId="79">
    <w:name w:val="封面一致性程度标识"/>
    <w:basedOn w:val="78"/>
    <w:qFormat/>
    <w:uiPriority w:val="0"/>
    <w:pPr>
      <w:framePr w:wrap="around"/>
      <w:spacing w:before="440"/>
    </w:pPr>
    <w:rPr>
      <w:rFonts w:ascii="宋体" w:eastAsia="宋体"/>
    </w:rPr>
  </w:style>
  <w:style w:type="paragraph" w:customStyle="1" w:styleId="80">
    <w:name w:val="封面标准文稿类别"/>
    <w:basedOn w:val="79"/>
    <w:qFormat/>
    <w:uiPriority w:val="0"/>
    <w:pPr>
      <w:framePr w:wrap="around"/>
      <w:spacing w:after="160" w:line="240" w:lineRule="auto"/>
    </w:pPr>
    <w:rPr>
      <w:sz w:val="24"/>
    </w:rPr>
  </w:style>
  <w:style w:type="paragraph" w:customStyle="1" w:styleId="81">
    <w:name w:val="封面标准文稿编辑信息"/>
    <w:basedOn w:val="80"/>
    <w:qFormat/>
    <w:uiPriority w:val="0"/>
    <w:pPr>
      <w:framePr w:wrap="around"/>
      <w:spacing w:before="180" w:line="180" w:lineRule="exact"/>
    </w:pPr>
    <w:rPr>
      <w:sz w:val="21"/>
    </w:rPr>
  </w:style>
  <w:style w:type="paragraph" w:customStyle="1" w:styleId="82">
    <w:name w:val="封面正文"/>
    <w:qFormat/>
    <w:uiPriority w:val="0"/>
    <w:pPr>
      <w:jc w:val="both"/>
    </w:pPr>
    <w:rPr>
      <w:rFonts w:ascii="Times New Roman" w:hAnsi="Times New Roman" w:eastAsia="宋体" w:cs="Times New Roman"/>
      <w:lang w:val="en-US" w:eastAsia="zh-CN" w:bidi="ar-SA"/>
    </w:rPr>
  </w:style>
  <w:style w:type="paragraph" w:customStyle="1" w:styleId="83">
    <w:name w:val="附录标识"/>
    <w:basedOn w:val="1"/>
    <w:next w:val="22"/>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4">
    <w:name w:val="附录标题"/>
    <w:basedOn w:val="22"/>
    <w:next w:val="22"/>
    <w:qFormat/>
    <w:uiPriority w:val="0"/>
    <w:pPr>
      <w:ind w:firstLine="0" w:firstLineChars="0"/>
      <w:jc w:val="center"/>
    </w:pPr>
    <w:rPr>
      <w:rFonts w:ascii="黑体" w:eastAsia="黑体"/>
    </w:rPr>
  </w:style>
  <w:style w:type="paragraph" w:customStyle="1" w:styleId="85">
    <w:name w:val="附录表标号"/>
    <w:basedOn w:val="1"/>
    <w:next w:val="22"/>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6">
    <w:name w:val="附录表标题"/>
    <w:basedOn w:val="1"/>
    <w:next w:val="22"/>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87">
    <w:name w:val="附录二级条标题"/>
    <w:basedOn w:val="1"/>
    <w:next w:val="22"/>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8">
    <w:name w:val="附录二级无"/>
    <w:basedOn w:val="87"/>
    <w:qFormat/>
    <w:uiPriority w:val="0"/>
    <w:pPr>
      <w:tabs>
        <w:tab w:val="clear" w:pos="360"/>
      </w:tabs>
      <w:spacing w:before="0" w:beforeLines="0" w:after="0" w:afterLines="0"/>
    </w:pPr>
    <w:rPr>
      <w:rFonts w:ascii="宋体" w:eastAsia="宋体"/>
      <w:szCs w:val="21"/>
    </w:rPr>
  </w:style>
  <w:style w:type="paragraph" w:customStyle="1" w:styleId="89">
    <w:name w:val="附录公式"/>
    <w:basedOn w:val="22"/>
    <w:next w:val="22"/>
    <w:link w:val="90"/>
    <w:qFormat/>
    <w:uiPriority w:val="0"/>
  </w:style>
  <w:style w:type="character" w:customStyle="1" w:styleId="90">
    <w:name w:val="附录公式 Char"/>
    <w:basedOn w:val="40"/>
    <w:link w:val="89"/>
    <w:qFormat/>
    <w:uiPriority w:val="0"/>
    <w:rPr>
      <w:rFonts w:ascii="宋体"/>
      <w:sz w:val="21"/>
      <w:lang w:val="en-US" w:eastAsia="zh-CN" w:bidi="ar-SA"/>
    </w:rPr>
  </w:style>
  <w:style w:type="paragraph" w:customStyle="1" w:styleId="91">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92">
    <w:name w:val="附录三级条标题"/>
    <w:basedOn w:val="87"/>
    <w:next w:val="22"/>
    <w:qFormat/>
    <w:uiPriority w:val="0"/>
    <w:pPr>
      <w:numPr>
        <w:ilvl w:val="4"/>
      </w:numPr>
      <w:outlineLvl w:val="4"/>
    </w:pPr>
  </w:style>
  <w:style w:type="paragraph" w:customStyle="1" w:styleId="93">
    <w:name w:val="附录三级无"/>
    <w:basedOn w:val="92"/>
    <w:qFormat/>
    <w:uiPriority w:val="0"/>
    <w:pPr>
      <w:tabs>
        <w:tab w:val="clear" w:pos="360"/>
      </w:tabs>
      <w:spacing w:before="0" w:beforeLines="0" w:after="0" w:afterLines="0"/>
    </w:pPr>
    <w:rPr>
      <w:rFonts w:ascii="宋体" w:eastAsia="宋体"/>
      <w:szCs w:val="21"/>
    </w:rPr>
  </w:style>
  <w:style w:type="paragraph" w:customStyle="1" w:styleId="94">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5">
    <w:name w:val="附录四级条标题"/>
    <w:basedOn w:val="92"/>
    <w:next w:val="22"/>
    <w:qFormat/>
    <w:uiPriority w:val="0"/>
    <w:pPr>
      <w:numPr>
        <w:ilvl w:val="5"/>
      </w:numPr>
      <w:outlineLvl w:val="5"/>
    </w:pPr>
  </w:style>
  <w:style w:type="paragraph" w:customStyle="1" w:styleId="96">
    <w:name w:val="附录四级无"/>
    <w:basedOn w:val="95"/>
    <w:qFormat/>
    <w:uiPriority w:val="0"/>
    <w:pPr>
      <w:tabs>
        <w:tab w:val="clear" w:pos="360"/>
      </w:tabs>
      <w:spacing w:before="0" w:beforeLines="0" w:after="0" w:afterLines="0"/>
    </w:pPr>
    <w:rPr>
      <w:rFonts w:ascii="宋体" w:eastAsia="宋体"/>
      <w:szCs w:val="21"/>
    </w:rPr>
  </w:style>
  <w:style w:type="paragraph" w:customStyle="1" w:styleId="97">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8">
    <w:name w:val="附录图标题"/>
    <w:basedOn w:val="1"/>
    <w:next w:val="22"/>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99">
    <w:name w:val="附录五级条标题"/>
    <w:basedOn w:val="95"/>
    <w:next w:val="22"/>
    <w:qFormat/>
    <w:uiPriority w:val="0"/>
    <w:pPr>
      <w:numPr>
        <w:ilvl w:val="6"/>
      </w:numPr>
      <w:outlineLvl w:val="6"/>
    </w:pPr>
  </w:style>
  <w:style w:type="paragraph" w:customStyle="1" w:styleId="100">
    <w:name w:val="附录五级无"/>
    <w:basedOn w:val="99"/>
    <w:qFormat/>
    <w:uiPriority w:val="0"/>
    <w:pPr>
      <w:tabs>
        <w:tab w:val="clear" w:pos="360"/>
      </w:tabs>
      <w:spacing w:before="0" w:beforeLines="0" w:after="0" w:afterLines="0"/>
    </w:pPr>
    <w:rPr>
      <w:rFonts w:ascii="宋体" w:eastAsia="宋体"/>
      <w:szCs w:val="21"/>
    </w:rPr>
  </w:style>
  <w:style w:type="paragraph" w:customStyle="1" w:styleId="101">
    <w:name w:val="附录章标题"/>
    <w:next w:val="22"/>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附录一级条标题"/>
    <w:basedOn w:val="101"/>
    <w:next w:val="22"/>
    <w:qFormat/>
    <w:uiPriority w:val="0"/>
    <w:pPr>
      <w:numPr>
        <w:ilvl w:val="2"/>
      </w:numPr>
      <w:autoSpaceDN w:val="0"/>
      <w:spacing w:before="50" w:beforeLines="50" w:after="50" w:afterLines="50"/>
      <w:outlineLvl w:val="2"/>
    </w:pPr>
  </w:style>
  <w:style w:type="paragraph" w:customStyle="1" w:styleId="103">
    <w:name w:val="附录一级无"/>
    <w:basedOn w:val="102"/>
    <w:qFormat/>
    <w:uiPriority w:val="0"/>
    <w:pPr>
      <w:tabs>
        <w:tab w:val="clear" w:pos="360"/>
      </w:tabs>
      <w:spacing w:before="0" w:beforeLines="0" w:after="0" w:afterLines="0"/>
    </w:pPr>
    <w:rPr>
      <w:rFonts w:ascii="宋体" w:eastAsia="宋体"/>
      <w:szCs w:val="21"/>
    </w:rPr>
  </w:style>
  <w:style w:type="paragraph" w:customStyle="1" w:styleId="104">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其他标准标志"/>
    <w:basedOn w:val="65"/>
    <w:qFormat/>
    <w:uiPriority w:val="0"/>
    <w:pPr>
      <w:framePr w:w="6101" w:wrap="around" w:vAnchor="page" w:hAnchor="page" w:x="4673" w:y="942"/>
    </w:pPr>
    <w:rPr>
      <w:w w:val="130"/>
    </w:rPr>
  </w:style>
  <w:style w:type="paragraph" w:customStyle="1" w:styleId="10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0">
    <w:name w:val="其他发布部门"/>
    <w:basedOn w:val="73"/>
    <w:qFormat/>
    <w:uiPriority w:val="0"/>
    <w:pPr>
      <w:framePr w:wrap="around" w:y="15310"/>
      <w:spacing w:line="0" w:lineRule="atLeast"/>
    </w:pPr>
    <w:rPr>
      <w:rFonts w:ascii="黑体" w:eastAsia="黑体"/>
      <w:b w:val="0"/>
    </w:rPr>
  </w:style>
  <w:style w:type="paragraph" w:customStyle="1" w:styleId="111">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三级无"/>
    <w:basedOn w:val="50"/>
    <w:qFormat/>
    <w:uiPriority w:val="0"/>
    <w:pPr>
      <w:spacing w:before="0" w:beforeLines="0" w:after="0" w:afterLines="0"/>
    </w:pPr>
    <w:rPr>
      <w:rFonts w:ascii="宋体" w:eastAsia="宋体"/>
    </w:rPr>
  </w:style>
  <w:style w:type="paragraph" w:customStyle="1" w:styleId="113">
    <w:name w:val="实施日期"/>
    <w:basedOn w:val="74"/>
    <w:qFormat/>
    <w:uiPriority w:val="0"/>
    <w:pPr>
      <w:framePr w:wrap="around" w:vAnchor="page" w:hAnchor="text"/>
      <w:jc w:val="right"/>
    </w:pPr>
  </w:style>
  <w:style w:type="paragraph" w:customStyle="1" w:styleId="114">
    <w:name w:val="示例后文字"/>
    <w:basedOn w:val="22"/>
    <w:next w:val="22"/>
    <w:qFormat/>
    <w:uiPriority w:val="0"/>
    <w:pPr>
      <w:ind w:firstLine="360"/>
    </w:pPr>
    <w:rPr>
      <w:sz w:val="18"/>
    </w:rPr>
  </w:style>
  <w:style w:type="paragraph" w:customStyle="1" w:styleId="115">
    <w:name w:val="首示例"/>
    <w:next w:val="22"/>
    <w:link w:val="116"/>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6">
    <w:name w:val="首示例 Char"/>
    <w:link w:val="115"/>
    <w:qFormat/>
    <w:uiPriority w:val="0"/>
    <w:rPr>
      <w:rFonts w:ascii="宋体" w:hAnsi="宋体"/>
      <w:kern w:val="2"/>
      <w:sz w:val="18"/>
      <w:szCs w:val="18"/>
    </w:rPr>
  </w:style>
  <w:style w:type="paragraph" w:customStyle="1" w:styleId="117">
    <w:name w:val="四级无"/>
    <w:basedOn w:val="54"/>
    <w:qFormat/>
    <w:uiPriority w:val="0"/>
    <w:pPr>
      <w:spacing w:before="0" w:beforeLines="0" w:after="0" w:afterLines="0"/>
    </w:pPr>
    <w:rPr>
      <w:rFonts w:ascii="宋体" w:eastAsia="宋体"/>
    </w:rPr>
  </w:style>
  <w:style w:type="paragraph" w:customStyle="1" w:styleId="118">
    <w:name w:val="条文脚注"/>
    <w:basedOn w:val="23"/>
    <w:qFormat/>
    <w:uiPriority w:val="0"/>
    <w:pPr>
      <w:numPr>
        <w:numId w:val="0"/>
      </w:numPr>
      <w:jc w:val="both"/>
    </w:pPr>
  </w:style>
  <w:style w:type="paragraph" w:customStyle="1" w:styleId="119">
    <w:name w:val="图标脚注说明"/>
    <w:basedOn w:val="22"/>
    <w:qFormat/>
    <w:uiPriority w:val="0"/>
    <w:pPr>
      <w:ind w:left="840" w:hanging="420" w:firstLineChars="0"/>
    </w:pPr>
    <w:rPr>
      <w:sz w:val="18"/>
      <w:szCs w:val="18"/>
    </w:rPr>
  </w:style>
  <w:style w:type="paragraph" w:customStyle="1" w:styleId="120">
    <w:name w:val="图表脚注说明"/>
    <w:basedOn w:val="1"/>
    <w:qFormat/>
    <w:uiPriority w:val="0"/>
    <w:pPr>
      <w:numPr>
        <w:ilvl w:val="0"/>
        <w:numId w:val="16"/>
      </w:numPr>
    </w:pPr>
    <w:rPr>
      <w:rFonts w:ascii="宋体"/>
      <w:sz w:val="18"/>
      <w:szCs w:val="18"/>
    </w:rPr>
  </w:style>
  <w:style w:type="paragraph" w:customStyle="1" w:styleId="121">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3">
    <w:name w:val="五级无"/>
    <w:basedOn w:val="55"/>
    <w:qFormat/>
    <w:uiPriority w:val="0"/>
    <w:pPr>
      <w:spacing w:before="0" w:beforeLines="0" w:after="0" w:afterLines="0"/>
    </w:pPr>
    <w:rPr>
      <w:rFonts w:ascii="宋体" w:eastAsia="宋体"/>
    </w:rPr>
  </w:style>
  <w:style w:type="paragraph" w:customStyle="1" w:styleId="124">
    <w:name w:val="一级无"/>
    <w:basedOn w:val="41"/>
    <w:qFormat/>
    <w:uiPriority w:val="0"/>
    <w:pPr>
      <w:spacing w:before="0" w:beforeLines="0" w:after="0" w:afterLines="0"/>
    </w:pPr>
    <w:rPr>
      <w:rFonts w:ascii="宋体" w:eastAsia="宋体"/>
    </w:rPr>
  </w:style>
  <w:style w:type="paragraph" w:customStyle="1" w:styleId="125">
    <w:name w:val="正文表标题"/>
    <w:next w:val="22"/>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正文公式编号制表符"/>
    <w:basedOn w:val="22"/>
    <w:next w:val="22"/>
    <w:qFormat/>
    <w:uiPriority w:val="0"/>
    <w:pPr>
      <w:ind w:firstLine="0" w:firstLineChars="0"/>
    </w:pPr>
  </w:style>
  <w:style w:type="paragraph" w:customStyle="1" w:styleId="127">
    <w:name w:val="正文图标题"/>
    <w:next w:val="22"/>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终结线"/>
    <w:basedOn w:val="1"/>
    <w:qFormat/>
    <w:uiPriority w:val="0"/>
    <w:pPr>
      <w:framePr w:hSpace="181" w:vSpace="181" w:wrap="around" w:vAnchor="text" w:hAnchor="margin" w:xAlign="center" w:y="285"/>
    </w:pPr>
  </w:style>
  <w:style w:type="paragraph" w:customStyle="1" w:styleId="129">
    <w:name w:val="其他发布日期"/>
    <w:basedOn w:val="74"/>
    <w:qFormat/>
    <w:uiPriority w:val="0"/>
    <w:pPr>
      <w:framePr w:wrap="around" w:vAnchor="page" w:hAnchor="text" w:x="1419"/>
    </w:pPr>
  </w:style>
  <w:style w:type="paragraph" w:customStyle="1" w:styleId="130">
    <w:name w:val="其他实施日期"/>
    <w:basedOn w:val="113"/>
    <w:qFormat/>
    <w:uiPriority w:val="0"/>
    <w:pPr>
      <w:framePr w:wrap="around"/>
    </w:pPr>
  </w:style>
  <w:style w:type="paragraph" w:customStyle="1" w:styleId="131">
    <w:name w:val="封面标准名称2"/>
    <w:basedOn w:val="77"/>
    <w:qFormat/>
    <w:uiPriority w:val="0"/>
    <w:pPr>
      <w:framePr w:wrap="around" w:y="4469"/>
      <w:spacing w:before="630" w:beforeLines="630"/>
    </w:pPr>
  </w:style>
  <w:style w:type="paragraph" w:customStyle="1" w:styleId="132">
    <w:name w:val="封面标准英文名称2"/>
    <w:basedOn w:val="78"/>
    <w:qFormat/>
    <w:uiPriority w:val="0"/>
    <w:pPr>
      <w:framePr w:wrap="around" w:y="4469"/>
    </w:pPr>
  </w:style>
  <w:style w:type="paragraph" w:customStyle="1" w:styleId="133">
    <w:name w:val="封面一致性程度标识2"/>
    <w:basedOn w:val="79"/>
    <w:qFormat/>
    <w:uiPriority w:val="0"/>
    <w:pPr>
      <w:framePr w:wrap="around" w:y="4469"/>
    </w:pPr>
  </w:style>
  <w:style w:type="paragraph" w:customStyle="1" w:styleId="134">
    <w:name w:val="封面标准文稿类别2"/>
    <w:basedOn w:val="80"/>
    <w:qFormat/>
    <w:uiPriority w:val="0"/>
    <w:pPr>
      <w:framePr w:wrap="around" w:y="4469"/>
    </w:pPr>
  </w:style>
  <w:style w:type="paragraph" w:customStyle="1" w:styleId="135">
    <w:name w:val="封面标准文稿编辑信息2"/>
    <w:basedOn w:val="81"/>
    <w:qFormat/>
    <w:uiPriority w:val="0"/>
    <w:pPr>
      <w:framePr w:wrap="around" w:y="4469"/>
    </w:pPr>
  </w:style>
  <w:style w:type="character" w:customStyle="1" w:styleId="136">
    <w:name w:val="批注框文本 Char"/>
    <w:link w:val="15"/>
    <w:qFormat/>
    <w:uiPriority w:val="0"/>
    <w:rPr>
      <w:kern w:val="2"/>
      <w:sz w:val="18"/>
      <w:szCs w:val="18"/>
    </w:rPr>
  </w:style>
  <w:style w:type="character" w:customStyle="1" w:styleId="137">
    <w:name w:val="页眉 Char"/>
    <w:basedOn w:val="33"/>
    <w:link w:val="17"/>
    <w:qFormat/>
    <w:uiPriority w:val="99"/>
    <w:rPr>
      <w:kern w:val="2"/>
      <w:sz w:val="18"/>
      <w:szCs w:val="18"/>
    </w:rPr>
  </w:style>
  <w:style w:type="character" w:customStyle="1" w:styleId="138">
    <w:name w:val="批注文字 Char"/>
    <w:basedOn w:val="33"/>
    <w:link w:val="7"/>
    <w:semiHidden/>
    <w:qFormat/>
    <w:uiPriority w:val="0"/>
    <w:rPr>
      <w:kern w:val="2"/>
      <w:sz w:val="21"/>
      <w:szCs w:val="24"/>
    </w:rPr>
  </w:style>
  <w:style w:type="character" w:customStyle="1" w:styleId="139">
    <w:name w:val="批注主题 Char"/>
    <w:basedOn w:val="138"/>
    <w:link w:val="30"/>
    <w:semiHidden/>
    <w:qFormat/>
    <w:uiPriority w:val="0"/>
    <w:rPr>
      <w:b/>
      <w:bCs/>
      <w:kern w:val="2"/>
      <w:sz w:val="21"/>
      <w:szCs w:val="24"/>
    </w:rPr>
  </w:style>
  <w:style w:type="character" w:customStyle="1" w:styleId="140">
    <w:name w:val="页脚 Char"/>
    <w:basedOn w:val="33"/>
    <w:link w:val="16"/>
    <w:qFormat/>
    <w:uiPriority w:val="99"/>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27568-3B15-4C61-B366-E0D0E9EE50F2}">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6</Pages>
  <Words>1144</Words>
  <Characters>1394</Characters>
  <Lines>11</Lines>
  <Paragraphs>3</Paragraphs>
  <TotalTime>144</TotalTime>
  <ScaleCrop>false</ScaleCrop>
  <LinksUpToDate>false</LinksUpToDate>
  <CharactersWithSpaces>1450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2018-04-24T06:38:00Z</dcterms:created>
  <dc:creator>CNIS</dc:creator>
  <cp:lastModifiedBy>张海燕</cp:lastModifiedBy>
  <cp:lastPrinted>2022-04-21T08:20:00Z</cp:lastPrinted>
  <dcterms:modified xsi:type="dcterms:W3CDTF">2022-04-22T01:34:04Z</dcterms:modified>
  <dc:title>标准名称</dc:title>
  <cp:revision>540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D3F65D67E6F64DD488E2B4F403D6E84A</vt:lpwstr>
  </property>
</Properties>
</file>